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93F9" w14:textId="77777777" w:rsidR="00E20F7A" w:rsidRDefault="00E20F7A">
      <w:pPr>
        <w:spacing w:after="0" w:line="240" w:lineRule="auto"/>
        <w:rPr>
          <w:sz w:val="24"/>
          <w:szCs w:val="24"/>
        </w:rPr>
      </w:pPr>
      <w:bookmarkStart w:id="0" w:name="_Toc230156287"/>
    </w:p>
    <w:p w14:paraId="66B28CE0" w14:textId="77777777" w:rsidR="00E20F7A" w:rsidRDefault="00E20F7A">
      <w:pPr>
        <w:spacing w:after="0" w:line="240" w:lineRule="auto"/>
        <w:rPr>
          <w:sz w:val="24"/>
          <w:szCs w:val="24"/>
        </w:rPr>
      </w:pPr>
    </w:p>
    <w:p w14:paraId="6AD349E9" w14:textId="77777777" w:rsidR="00E20F7A" w:rsidRDefault="00E20F7A">
      <w:pPr>
        <w:spacing w:after="0" w:line="240" w:lineRule="auto"/>
        <w:rPr>
          <w:sz w:val="24"/>
          <w:szCs w:val="24"/>
        </w:rPr>
      </w:pPr>
    </w:p>
    <w:p w14:paraId="46C755FF" w14:textId="77777777" w:rsidR="00E20F7A" w:rsidRDefault="00E20F7A">
      <w:pPr>
        <w:spacing w:after="0" w:line="240" w:lineRule="auto"/>
        <w:rPr>
          <w:sz w:val="24"/>
          <w:szCs w:val="24"/>
        </w:rPr>
      </w:pPr>
    </w:p>
    <w:p w14:paraId="683AF645" w14:textId="77777777" w:rsidR="00E20F7A" w:rsidRDefault="00E20F7A">
      <w:pPr>
        <w:spacing w:after="0" w:line="240" w:lineRule="auto"/>
        <w:rPr>
          <w:sz w:val="24"/>
          <w:szCs w:val="24"/>
        </w:rPr>
      </w:pPr>
    </w:p>
    <w:p w14:paraId="4E03B0AA" w14:textId="1B2F5193" w:rsidR="00E20F7A" w:rsidRPr="00E20F7A" w:rsidRDefault="00E20F7A" w:rsidP="00E20F7A">
      <w:pPr>
        <w:pStyle w:val="Heading1"/>
        <w:spacing w:before="0" w:line="240" w:lineRule="auto"/>
        <w:contextualSpacing/>
        <w:jc w:val="center"/>
        <w:rPr>
          <w:color w:val="auto"/>
          <w:sz w:val="24"/>
          <w:szCs w:val="24"/>
        </w:rPr>
      </w:pPr>
      <w:r w:rsidRPr="00E20F7A">
        <w:rPr>
          <w:color w:val="auto"/>
        </w:rPr>
        <w:t>Toward Multinational Professional Military Education in Europe</w:t>
      </w:r>
    </w:p>
    <w:p w14:paraId="2F5CA6FE" w14:textId="77777777" w:rsidR="00E20F7A" w:rsidRDefault="00E20F7A" w:rsidP="00E20F7A">
      <w:pPr>
        <w:spacing w:after="0" w:line="240" w:lineRule="auto"/>
        <w:contextualSpacing/>
        <w:jc w:val="center"/>
      </w:pPr>
    </w:p>
    <w:p w14:paraId="1AADCC09" w14:textId="77777777" w:rsidR="00E20F7A" w:rsidRDefault="00E20F7A" w:rsidP="00E20F7A">
      <w:pPr>
        <w:spacing w:after="0" w:line="240" w:lineRule="auto"/>
        <w:contextualSpacing/>
        <w:jc w:val="center"/>
      </w:pPr>
    </w:p>
    <w:p w14:paraId="187935B6" w14:textId="77777777" w:rsidR="00E20F7A" w:rsidRPr="00E20F7A" w:rsidRDefault="00E20F7A" w:rsidP="00E20F7A">
      <w:pPr>
        <w:spacing w:after="0" w:line="240" w:lineRule="auto"/>
        <w:contextualSpacing/>
        <w:jc w:val="center"/>
      </w:pPr>
    </w:p>
    <w:p w14:paraId="7911BF4D" w14:textId="000E992D" w:rsidR="00E20F7A" w:rsidRPr="00E20F7A" w:rsidRDefault="00E20F7A" w:rsidP="00E20F7A">
      <w:pPr>
        <w:spacing w:after="0" w:line="240" w:lineRule="auto"/>
        <w:contextualSpacing/>
        <w:jc w:val="center"/>
        <w:rPr>
          <w:rFonts w:asciiTheme="majorHAnsi" w:hAnsiTheme="majorHAnsi"/>
          <w:sz w:val="28"/>
        </w:rPr>
      </w:pPr>
      <w:r w:rsidRPr="00E20F7A">
        <w:rPr>
          <w:rFonts w:asciiTheme="majorHAnsi" w:hAnsiTheme="majorHAnsi"/>
          <w:sz w:val="28"/>
        </w:rPr>
        <w:t xml:space="preserve">Gary Schaub, Jr. and </w:t>
      </w:r>
      <w:proofErr w:type="spellStart"/>
      <w:r w:rsidRPr="00E20F7A">
        <w:rPr>
          <w:rFonts w:asciiTheme="majorHAnsi" w:hAnsiTheme="majorHAnsi"/>
          <w:sz w:val="28"/>
        </w:rPr>
        <w:t>Henrik</w:t>
      </w:r>
      <w:proofErr w:type="spellEnd"/>
      <w:r w:rsidRPr="00E20F7A">
        <w:rPr>
          <w:rFonts w:asciiTheme="majorHAnsi" w:hAnsiTheme="majorHAnsi"/>
          <w:sz w:val="28"/>
        </w:rPr>
        <w:t xml:space="preserve"> Ø. </w:t>
      </w:r>
      <w:proofErr w:type="spellStart"/>
      <w:r w:rsidRPr="00E20F7A">
        <w:rPr>
          <w:rFonts w:asciiTheme="majorHAnsi" w:hAnsiTheme="majorHAnsi"/>
          <w:sz w:val="28"/>
        </w:rPr>
        <w:t>Breitenbach</w:t>
      </w:r>
      <w:proofErr w:type="spellEnd"/>
    </w:p>
    <w:p w14:paraId="4B170A1F" w14:textId="7579F05D" w:rsidR="00E20F7A" w:rsidRPr="00E20F7A" w:rsidRDefault="00E20F7A" w:rsidP="00E20F7A">
      <w:pPr>
        <w:spacing w:after="0" w:line="240" w:lineRule="auto"/>
        <w:contextualSpacing/>
        <w:jc w:val="center"/>
        <w:rPr>
          <w:rFonts w:asciiTheme="majorHAnsi" w:hAnsiTheme="majorHAnsi"/>
          <w:sz w:val="28"/>
        </w:rPr>
      </w:pPr>
      <w:r w:rsidRPr="00E20F7A">
        <w:rPr>
          <w:rFonts w:asciiTheme="majorHAnsi" w:hAnsiTheme="majorHAnsi"/>
          <w:sz w:val="28"/>
        </w:rPr>
        <w:t>Centre for Military Studies</w:t>
      </w:r>
    </w:p>
    <w:p w14:paraId="4DEC18A2" w14:textId="6207271B" w:rsidR="00E20F7A" w:rsidRPr="00E20F7A" w:rsidRDefault="00E20F7A" w:rsidP="00E20F7A">
      <w:pPr>
        <w:spacing w:after="0" w:line="240" w:lineRule="auto"/>
        <w:contextualSpacing/>
        <w:jc w:val="center"/>
        <w:rPr>
          <w:rFonts w:asciiTheme="majorHAnsi" w:hAnsiTheme="majorHAnsi"/>
          <w:sz w:val="28"/>
        </w:rPr>
      </w:pPr>
      <w:r w:rsidRPr="00E20F7A">
        <w:rPr>
          <w:rFonts w:asciiTheme="majorHAnsi" w:hAnsiTheme="majorHAnsi"/>
          <w:sz w:val="28"/>
        </w:rPr>
        <w:t>University of Copenhagen</w:t>
      </w:r>
    </w:p>
    <w:p w14:paraId="38E4F33F" w14:textId="77777777" w:rsidR="00E20F7A" w:rsidRPr="00E20F7A" w:rsidRDefault="00E20F7A" w:rsidP="00E20F7A">
      <w:pPr>
        <w:spacing w:after="0" w:line="240" w:lineRule="auto"/>
        <w:contextualSpacing/>
        <w:jc w:val="center"/>
        <w:rPr>
          <w:rFonts w:asciiTheme="majorHAnsi" w:hAnsiTheme="majorHAnsi"/>
          <w:sz w:val="28"/>
        </w:rPr>
      </w:pPr>
    </w:p>
    <w:p w14:paraId="7D0E42AF" w14:textId="77777777" w:rsidR="00E20F7A" w:rsidRPr="00E20F7A" w:rsidRDefault="00E20F7A" w:rsidP="00E20F7A">
      <w:pPr>
        <w:spacing w:after="0" w:line="240" w:lineRule="auto"/>
        <w:contextualSpacing/>
        <w:jc w:val="center"/>
        <w:rPr>
          <w:rFonts w:asciiTheme="majorHAnsi" w:hAnsiTheme="majorHAnsi"/>
          <w:sz w:val="28"/>
        </w:rPr>
      </w:pPr>
    </w:p>
    <w:p w14:paraId="27211CED" w14:textId="77777777" w:rsidR="00E20F7A" w:rsidRPr="00E20F7A" w:rsidRDefault="00E20F7A" w:rsidP="00E20F7A">
      <w:pPr>
        <w:spacing w:after="0" w:line="240" w:lineRule="auto"/>
        <w:contextualSpacing/>
        <w:jc w:val="center"/>
        <w:rPr>
          <w:rFonts w:asciiTheme="majorHAnsi" w:hAnsiTheme="majorHAnsi"/>
          <w:sz w:val="28"/>
        </w:rPr>
      </w:pPr>
    </w:p>
    <w:p w14:paraId="3C5F728F" w14:textId="77777777" w:rsidR="00E20F7A" w:rsidRPr="00E20F7A" w:rsidRDefault="00E20F7A" w:rsidP="00E20F7A">
      <w:pPr>
        <w:spacing w:after="0" w:line="240" w:lineRule="auto"/>
        <w:contextualSpacing/>
        <w:jc w:val="center"/>
        <w:rPr>
          <w:rFonts w:asciiTheme="majorHAnsi" w:hAnsiTheme="majorHAnsi"/>
          <w:sz w:val="28"/>
        </w:rPr>
      </w:pPr>
    </w:p>
    <w:p w14:paraId="42547E8B" w14:textId="5E2B76E6" w:rsidR="00E20F7A" w:rsidRPr="00E20F7A" w:rsidRDefault="00E20F7A" w:rsidP="00E20F7A">
      <w:pPr>
        <w:spacing w:after="0" w:line="240" w:lineRule="auto"/>
        <w:contextualSpacing/>
        <w:jc w:val="center"/>
        <w:rPr>
          <w:rFonts w:asciiTheme="majorHAnsi" w:hAnsiTheme="majorHAnsi"/>
        </w:rPr>
      </w:pPr>
      <w:r w:rsidRPr="00E20F7A">
        <w:rPr>
          <w:rFonts w:asciiTheme="majorHAnsi" w:hAnsiTheme="majorHAnsi"/>
          <w:sz w:val="28"/>
          <w:szCs w:val="24"/>
        </w:rPr>
        <w:t>P</w:t>
      </w:r>
      <w:r w:rsidRPr="00E20F7A">
        <w:rPr>
          <w:rFonts w:asciiTheme="majorHAnsi" w:hAnsiTheme="majorHAnsi"/>
          <w:sz w:val="28"/>
        </w:rPr>
        <w:t>resented to the Annual Joint Meeting of the International Security Studies Section of the International Studies Association and the International Security and Arms Control Section of the American Political Science Association in Washington, D.C., 4-6 October 2013.</w:t>
      </w:r>
    </w:p>
    <w:p w14:paraId="3E877F5A" w14:textId="77777777" w:rsidR="00E20F7A" w:rsidRDefault="00E20F7A" w:rsidP="00E20F7A"/>
    <w:p w14:paraId="6F2D65E7" w14:textId="77777777" w:rsidR="00E20F7A" w:rsidRDefault="00E20F7A" w:rsidP="00E20F7A"/>
    <w:p w14:paraId="3BAB3053" w14:textId="77777777" w:rsidR="00E20F7A" w:rsidRDefault="00E20F7A" w:rsidP="00E20F7A"/>
    <w:p w14:paraId="3169BF16" w14:textId="77777777" w:rsidR="00E20F7A" w:rsidRPr="00E20F7A" w:rsidRDefault="00E20F7A" w:rsidP="00E20F7A"/>
    <w:p w14:paraId="7E9D4FF5" w14:textId="77777777" w:rsidR="00E20F7A" w:rsidRDefault="00E20F7A" w:rsidP="00E20F7A">
      <w:pPr>
        <w:pStyle w:val="Heading1"/>
        <w:spacing w:before="0" w:line="240" w:lineRule="auto"/>
        <w:contextualSpacing/>
        <w:jc w:val="both"/>
        <w:rPr>
          <w:color w:val="auto"/>
          <w:sz w:val="24"/>
          <w:szCs w:val="24"/>
        </w:rPr>
      </w:pPr>
    </w:p>
    <w:p w14:paraId="741160EA" w14:textId="77777777" w:rsidR="00E20F7A" w:rsidRDefault="00E20F7A" w:rsidP="00E20F7A">
      <w:pPr>
        <w:pStyle w:val="Heading1"/>
        <w:spacing w:before="0" w:line="240" w:lineRule="auto"/>
        <w:contextualSpacing/>
        <w:jc w:val="both"/>
        <w:rPr>
          <w:color w:val="auto"/>
          <w:sz w:val="24"/>
          <w:szCs w:val="24"/>
        </w:rPr>
      </w:pPr>
      <w:r>
        <w:rPr>
          <w:color w:val="auto"/>
          <w:sz w:val="24"/>
          <w:szCs w:val="24"/>
        </w:rPr>
        <w:t>Abstract</w:t>
      </w:r>
    </w:p>
    <w:p w14:paraId="59BFD509" w14:textId="77777777" w:rsidR="00E20F7A" w:rsidRPr="00110E9B" w:rsidRDefault="00E20F7A" w:rsidP="00E20F7A">
      <w:pPr>
        <w:spacing w:after="0" w:line="240" w:lineRule="auto"/>
        <w:contextualSpacing/>
        <w:jc w:val="both"/>
        <w:rPr>
          <w:rFonts w:ascii="Cambria" w:hAnsi="Cambria"/>
          <w:sz w:val="24"/>
          <w:szCs w:val="24"/>
        </w:rPr>
      </w:pPr>
      <w:r>
        <w:rPr>
          <w:rFonts w:ascii="Cambria" w:hAnsi="Cambria"/>
          <w:sz w:val="24"/>
          <w:szCs w:val="24"/>
        </w:rPr>
        <w:t xml:space="preserve">European NATO nations need better staff officers.  Operation Unified Protector exposed a widespread deficiency in the professional knowledge of field-grade European officers.  </w:t>
      </w:r>
      <w:r w:rsidRPr="00110E9B">
        <w:rPr>
          <w:rFonts w:ascii="Cambria" w:hAnsi="Cambria"/>
          <w:sz w:val="24"/>
          <w:szCs w:val="24"/>
        </w:rPr>
        <w:t xml:space="preserve">Professional military education (PME) is </w:t>
      </w:r>
      <w:r>
        <w:rPr>
          <w:rFonts w:ascii="Cambria" w:hAnsi="Cambria"/>
          <w:sz w:val="24"/>
          <w:szCs w:val="24"/>
        </w:rPr>
        <w:t xml:space="preserve">where corrective Alliance action must focus.  </w:t>
      </w:r>
      <w:r w:rsidRPr="00110E9B">
        <w:rPr>
          <w:rFonts w:ascii="Cambria" w:hAnsi="Cambria"/>
          <w:sz w:val="24"/>
          <w:szCs w:val="24"/>
        </w:rPr>
        <w:t>The Nordic countries—Norway, Denmark, Sweden, and Finland—</w:t>
      </w:r>
      <w:r>
        <w:rPr>
          <w:rFonts w:ascii="Cambria" w:hAnsi="Cambria"/>
          <w:sz w:val="24"/>
          <w:szCs w:val="24"/>
        </w:rPr>
        <w:t>have conducted joint training courses for decades and</w:t>
      </w:r>
      <w:r>
        <w:rPr>
          <w:rFonts w:ascii="Cambria" w:hAnsi="Cambria"/>
          <w:sz w:val="24"/>
          <w:szCs w:val="24"/>
          <w:shd w:val="clear" w:color="auto" w:fill="FFFFFF"/>
        </w:rPr>
        <w:t xml:space="preserve"> </w:t>
      </w:r>
      <w:r w:rsidRPr="00110E9B">
        <w:rPr>
          <w:rFonts w:ascii="Cambria" w:hAnsi="Cambria"/>
          <w:sz w:val="24"/>
          <w:szCs w:val="24"/>
          <w:shd w:val="clear" w:color="auto" w:fill="FFFFFF"/>
        </w:rPr>
        <w:t xml:space="preserve">are considering </w:t>
      </w:r>
      <w:r w:rsidRPr="00110E9B">
        <w:rPr>
          <w:rFonts w:ascii="Cambria" w:hAnsi="Cambria"/>
          <w:sz w:val="24"/>
          <w:szCs w:val="24"/>
        </w:rPr>
        <w:t>ways to facilitate cooperation in the education of the field-grade officers that would populate the staff of any future NATO-led expeditionary operation.</w:t>
      </w:r>
      <w:r>
        <w:rPr>
          <w:rFonts w:ascii="Cambria" w:hAnsi="Cambria"/>
          <w:sz w:val="24"/>
          <w:szCs w:val="24"/>
        </w:rPr>
        <w:t xml:space="preserve"> </w:t>
      </w:r>
      <w:r w:rsidRPr="00110E9B">
        <w:rPr>
          <w:rFonts w:ascii="Cambria" w:hAnsi="Cambria"/>
          <w:sz w:val="24"/>
          <w:szCs w:val="24"/>
        </w:rPr>
        <w:t xml:space="preserve">We suggest </w:t>
      </w:r>
      <w:r>
        <w:rPr>
          <w:rFonts w:ascii="Cambria" w:hAnsi="Cambria"/>
          <w:sz w:val="24"/>
          <w:szCs w:val="24"/>
        </w:rPr>
        <w:t>three</w:t>
      </w:r>
      <w:r w:rsidRPr="00110E9B">
        <w:rPr>
          <w:rFonts w:ascii="Cambria" w:hAnsi="Cambria"/>
          <w:sz w:val="24"/>
          <w:szCs w:val="24"/>
        </w:rPr>
        <w:t xml:space="preserve"> alternative paths that increased cooperation in PME at the level of the command and staff course could take: a Nordic Defence College, standardized national command and staff courses, </w:t>
      </w:r>
      <w:r>
        <w:rPr>
          <w:rFonts w:ascii="Cambria" w:hAnsi="Cambria"/>
          <w:sz w:val="24"/>
          <w:szCs w:val="24"/>
        </w:rPr>
        <w:t xml:space="preserve">and a core curriculum of </w:t>
      </w:r>
      <w:r w:rsidRPr="00110E9B">
        <w:rPr>
          <w:rFonts w:ascii="Cambria" w:hAnsi="Cambria"/>
          <w:sz w:val="24"/>
          <w:szCs w:val="24"/>
        </w:rPr>
        <w:t>com</w:t>
      </w:r>
      <w:r>
        <w:rPr>
          <w:rFonts w:ascii="Cambria" w:hAnsi="Cambria"/>
          <w:sz w:val="24"/>
          <w:szCs w:val="24"/>
        </w:rPr>
        <w:t>mon courses for common purposes</w:t>
      </w:r>
      <w:r w:rsidRPr="00110E9B">
        <w:rPr>
          <w:rFonts w:ascii="Cambria" w:hAnsi="Cambria"/>
          <w:sz w:val="24"/>
          <w:szCs w:val="24"/>
        </w:rPr>
        <w:t>.  We conclude with</w:t>
      </w:r>
      <w:r>
        <w:rPr>
          <w:rFonts w:ascii="Cambria" w:hAnsi="Cambria"/>
          <w:sz w:val="24"/>
          <w:szCs w:val="24"/>
        </w:rPr>
        <w:t xml:space="preserve"> a discussion of how the Alliance can facilitate clusters of cooperation between strategically proximate groups of Allies to improve their number of knowledgeable and skilled staff officers.</w:t>
      </w:r>
    </w:p>
    <w:p w14:paraId="36478138" w14:textId="77777777" w:rsidR="00E20F7A" w:rsidRDefault="00E20F7A">
      <w:pPr>
        <w:spacing w:after="0" w:line="240" w:lineRule="auto"/>
        <w:rPr>
          <w:sz w:val="24"/>
          <w:szCs w:val="24"/>
        </w:rPr>
      </w:pPr>
      <w:r>
        <w:rPr>
          <w:sz w:val="24"/>
          <w:szCs w:val="24"/>
        </w:rPr>
        <w:br w:type="page"/>
      </w:r>
    </w:p>
    <w:p w14:paraId="77B56D91" w14:textId="77777777" w:rsidR="00F93B97" w:rsidRPr="004446C7" w:rsidRDefault="007A665B" w:rsidP="00870B6A">
      <w:pPr>
        <w:pStyle w:val="Heading1"/>
        <w:spacing w:before="0" w:line="240" w:lineRule="auto"/>
        <w:contextualSpacing/>
        <w:jc w:val="both"/>
        <w:rPr>
          <w:color w:val="auto"/>
          <w:sz w:val="24"/>
          <w:szCs w:val="24"/>
        </w:rPr>
      </w:pPr>
      <w:bookmarkStart w:id="1" w:name="_GoBack"/>
      <w:bookmarkEnd w:id="1"/>
      <w:r w:rsidRPr="004446C7">
        <w:rPr>
          <w:color w:val="auto"/>
          <w:sz w:val="24"/>
          <w:szCs w:val="24"/>
        </w:rPr>
        <w:lastRenderedPageBreak/>
        <w:t>Introduction</w:t>
      </w:r>
      <w:r w:rsidR="00125A9F" w:rsidRPr="004446C7">
        <w:rPr>
          <w:color w:val="auto"/>
          <w:sz w:val="24"/>
          <w:szCs w:val="24"/>
        </w:rPr>
        <w:t>: Toward Multinational Professional Military Education</w:t>
      </w:r>
      <w:bookmarkEnd w:id="0"/>
    </w:p>
    <w:p w14:paraId="06394BF1" w14:textId="77777777" w:rsidR="003F03DB" w:rsidRPr="003F03DB" w:rsidRDefault="003F03DB" w:rsidP="00870B6A">
      <w:pPr>
        <w:spacing w:after="0" w:line="240" w:lineRule="auto"/>
        <w:contextualSpacing/>
        <w:jc w:val="both"/>
        <w:rPr>
          <w:rFonts w:asciiTheme="majorHAnsi" w:hAnsiTheme="majorHAnsi"/>
          <w:i/>
          <w:sz w:val="24"/>
          <w:szCs w:val="24"/>
        </w:rPr>
      </w:pPr>
    </w:p>
    <w:p w14:paraId="5F22FE31" w14:textId="77777777" w:rsidR="00CD3535" w:rsidRPr="00110E9B" w:rsidRDefault="00CD3535" w:rsidP="00870B6A">
      <w:pPr>
        <w:spacing w:after="0" w:line="240" w:lineRule="auto"/>
        <w:contextualSpacing/>
        <w:jc w:val="both"/>
        <w:rPr>
          <w:rFonts w:ascii="Cambria" w:hAnsi="Cambria"/>
          <w:i/>
          <w:sz w:val="24"/>
          <w:szCs w:val="24"/>
        </w:rPr>
      </w:pPr>
      <w:r w:rsidRPr="00110E9B">
        <w:rPr>
          <w:rFonts w:ascii="Cambria" w:hAnsi="Cambria"/>
          <w:i/>
          <w:sz w:val="24"/>
          <w:szCs w:val="24"/>
        </w:rPr>
        <w:t>NATO Unified Protector</w:t>
      </w:r>
    </w:p>
    <w:p w14:paraId="5C7E8CFE" w14:textId="77777777" w:rsidR="00110E9B" w:rsidRPr="00110E9B" w:rsidRDefault="00110E9B" w:rsidP="00870B6A">
      <w:pPr>
        <w:spacing w:after="0" w:line="240" w:lineRule="auto"/>
        <w:contextualSpacing/>
        <w:jc w:val="both"/>
        <w:rPr>
          <w:rFonts w:ascii="Cambria" w:hAnsi="Cambria"/>
          <w:sz w:val="24"/>
          <w:szCs w:val="24"/>
        </w:rPr>
      </w:pPr>
      <w:r w:rsidRPr="00110E9B">
        <w:rPr>
          <w:rFonts w:ascii="Cambria" w:hAnsi="Cambria"/>
          <w:sz w:val="24"/>
          <w:szCs w:val="24"/>
        </w:rPr>
        <w:t xml:space="preserve">In March 2011, NATO undertook air and maritime operations protect civilians and rebellious forces from the regime of Muammar Gaddafi.  Operation Unified Protector resembled Operation Allied Force, where NATO undertook similar air and maritime actions to protect </w:t>
      </w:r>
      <w:r w:rsidR="005D6112">
        <w:rPr>
          <w:rFonts w:ascii="Cambria" w:hAnsi="Cambria"/>
          <w:sz w:val="24"/>
          <w:szCs w:val="24"/>
        </w:rPr>
        <w:t xml:space="preserve">Kosovar </w:t>
      </w:r>
      <w:r w:rsidRPr="00110E9B">
        <w:rPr>
          <w:rFonts w:ascii="Cambria" w:hAnsi="Cambria"/>
          <w:sz w:val="24"/>
          <w:szCs w:val="24"/>
        </w:rPr>
        <w:t xml:space="preserve">civilians and rebellious forces in March 1999.  </w:t>
      </w:r>
      <w:r w:rsidR="00D279ED">
        <w:rPr>
          <w:rFonts w:ascii="Cambria" w:hAnsi="Cambria"/>
          <w:sz w:val="24"/>
          <w:szCs w:val="24"/>
        </w:rPr>
        <w:t>Unified Protector</w:t>
      </w:r>
      <w:r w:rsidRPr="00110E9B">
        <w:rPr>
          <w:rFonts w:ascii="Cambria" w:hAnsi="Cambria"/>
          <w:sz w:val="24"/>
          <w:szCs w:val="24"/>
        </w:rPr>
        <w:t xml:space="preserve"> revealed vast improvements in the ability of European Allies to contribute to operation</w:t>
      </w:r>
      <w:r w:rsidR="00D279ED">
        <w:rPr>
          <w:rFonts w:ascii="Cambria" w:hAnsi="Cambria"/>
          <w:sz w:val="24"/>
          <w:szCs w:val="24"/>
        </w:rPr>
        <w:t>s</w:t>
      </w:r>
      <w:r w:rsidRPr="00110E9B">
        <w:rPr>
          <w:rFonts w:ascii="Cambria" w:hAnsi="Cambria"/>
          <w:sz w:val="24"/>
          <w:szCs w:val="24"/>
        </w:rPr>
        <w:t xml:space="preserve">: 90 percent of all precision munitions dropped </w:t>
      </w:r>
      <w:r w:rsidR="00D279ED">
        <w:rPr>
          <w:rFonts w:ascii="Cambria" w:hAnsi="Cambria"/>
          <w:sz w:val="24"/>
          <w:szCs w:val="24"/>
        </w:rPr>
        <w:t>and</w:t>
      </w:r>
      <w:r w:rsidR="00D279ED" w:rsidRPr="00110E9B">
        <w:rPr>
          <w:rFonts w:ascii="Cambria" w:hAnsi="Cambria"/>
          <w:sz w:val="24"/>
          <w:szCs w:val="24"/>
        </w:rPr>
        <w:t xml:space="preserve"> 61 percent of sorties in Kosovo </w:t>
      </w:r>
      <w:r w:rsidRPr="00110E9B">
        <w:rPr>
          <w:rFonts w:ascii="Cambria" w:hAnsi="Cambria"/>
          <w:sz w:val="24"/>
          <w:szCs w:val="24"/>
        </w:rPr>
        <w:t xml:space="preserve">were American </w:t>
      </w:r>
      <w:r w:rsidR="00D279ED">
        <w:rPr>
          <w:rFonts w:ascii="Cambria" w:hAnsi="Cambria"/>
          <w:sz w:val="24"/>
          <w:szCs w:val="24"/>
        </w:rPr>
        <w:t>compared to</w:t>
      </w:r>
      <w:r w:rsidR="005D6112">
        <w:rPr>
          <w:rFonts w:ascii="Cambria" w:hAnsi="Cambria"/>
          <w:sz w:val="24"/>
          <w:szCs w:val="24"/>
        </w:rPr>
        <w:t xml:space="preserve"> 10 percent </w:t>
      </w:r>
      <w:r w:rsidR="00D279ED">
        <w:rPr>
          <w:rFonts w:ascii="Cambria" w:hAnsi="Cambria"/>
          <w:sz w:val="24"/>
          <w:szCs w:val="24"/>
        </w:rPr>
        <w:t xml:space="preserve">of </w:t>
      </w:r>
      <w:r w:rsidR="008816E5">
        <w:rPr>
          <w:rFonts w:ascii="Cambria" w:hAnsi="Cambria"/>
          <w:sz w:val="24"/>
          <w:szCs w:val="24"/>
        </w:rPr>
        <w:t>precision munition</w:t>
      </w:r>
      <w:r w:rsidR="00D279ED">
        <w:rPr>
          <w:rFonts w:ascii="Cambria" w:hAnsi="Cambria"/>
          <w:sz w:val="24"/>
          <w:szCs w:val="24"/>
        </w:rPr>
        <w:t xml:space="preserve">s and </w:t>
      </w:r>
      <w:r w:rsidR="00D279ED" w:rsidRPr="00110E9B">
        <w:rPr>
          <w:rFonts w:ascii="Cambria" w:hAnsi="Cambria"/>
          <w:sz w:val="24"/>
          <w:szCs w:val="24"/>
        </w:rPr>
        <w:t>25 percent</w:t>
      </w:r>
      <w:r w:rsidR="00D279ED">
        <w:rPr>
          <w:rFonts w:ascii="Cambria" w:hAnsi="Cambria"/>
          <w:sz w:val="24"/>
          <w:szCs w:val="24"/>
        </w:rPr>
        <w:t xml:space="preserve"> of sorties </w:t>
      </w:r>
      <w:r w:rsidR="005D6112">
        <w:rPr>
          <w:rFonts w:ascii="Cambria" w:hAnsi="Cambria"/>
          <w:sz w:val="24"/>
          <w:szCs w:val="24"/>
        </w:rPr>
        <w:t>in Libya</w:t>
      </w:r>
      <w:r w:rsidRPr="00110E9B">
        <w:rPr>
          <w:rFonts w:ascii="Cambria" w:hAnsi="Cambria"/>
          <w:sz w:val="24"/>
          <w:szCs w:val="24"/>
        </w:rPr>
        <w:t>.</w:t>
      </w:r>
      <w:r w:rsidRPr="00110E9B">
        <w:rPr>
          <w:rStyle w:val="FootnoteReference"/>
          <w:rFonts w:ascii="Cambria" w:hAnsi="Cambria"/>
          <w:sz w:val="24"/>
          <w:szCs w:val="24"/>
        </w:rPr>
        <w:footnoteReference w:id="1"/>
      </w:r>
      <w:r w:rsidRPr="00110E9B">
        <w:rPr>
          <w:rFonts w:ascii="Cambria" w:hAnsi="Cambria"/>
          <w:sz w:val="24"/>
          <w:szCs w:val="24"/>
        </w:rPr>
        <w:t xml:space="preserve">  In many ways, NATO members demonstrated that they had corrected previous capability shortcomings.</w:t>
      </w:r>
    </w:p>
    <w:p w14:paraId="7DF3DB63" w14:textId="77777777" w:rsidR="00110E9B" w:rsidRPr="00110E9B" w:rsidRDefault="00110E9B" w:rsidP="00870B6A">
      <w:pPr>
        <w:spacing w:after="0" w:line="240" w:lineRule="auto"/>
        <w:contextualSpacing/>
        <w:jc w:val="both"/>
        <w:rPr>
          <w:rFonts w:ascii="Cambria" w:hAnsi="Cambria"/>
          <w:sz w:val="24"/>
          <w:szCs w:val="24"/>
        </w:rPr>
      </w:pPr>
    </w:p>
    <w:p w14:paraId="0F34737B" w14:textId="77777777" w:rsidR="00110E9B" w:rsidRPr="00110E9B" w:rsidRDefault="00D279ED" w:rsidP="00870B6A">
      <w:pPr>
        <w:spacing w:after="0" w:line="240" w:lineRule="auto"/>
        <w:contextualSpacing/>
        <w:jc w:val="both"/>
        <w:rPr>
          <w:rFonts w:ascii="Cambria" w:hAnsi="Cambria"/>
          <w:sz w:val="24"/>
          <w:szCs w:val="24"/>
        </w:rPr>
      </w:pPr>
      <w:r>
        <w:rPr>
          <w:rFonts w:ascii="Cambria" w:hAnsi="Cambria"/>
          <w:sz w:val="24"/>
          <w:szCs w:val="24"/>
        </w:rPr>
        <w:t>Still, m</w:t>
      </w:r>
      <w:r w:rsidR="00110E9B" w:rsidRPr="00110E9B">
        <w:rPr>
          <w:rFonts w:ascii="Cambria" w:hAnsi="Cambria"/>
          <w:sz w:val="24"/>
          <w:szCs w:val="24"/>
        </w:rPr>
        <w:t xml:space="preserve">ost analyses of Unified Protector have </w:t>
      </w:r>
      <w:r w:rsidR="008816E5">
        <w:rPr>
          <w:rFonts w:ascii="Cambria" w:hAnsi="Cambria"/>
          <w:sz w:val="24"/>
          <w:szCs w:val="24"/>
        </w:rPr>
        <w:t>focused on</w:t>
      </w:r>
      <w:r w:rsidR="00110E9B" w:rsidRPr="00110E9B">
        <w:rPr>
          <w:rFonts w:ascii="Cambria" w:hAnsi="Cambria"/>
          <w:sz w:val="24"/>
          <w:szCs w:val="24"/>
        </w:rPr>
        <w:t xml:space="preserve"> remaining hardware deficiencies.  “Without U.S. Tomahawk cruise missiles, drones, and electronic warfare aircraft to guide combat missions, the Libya intervention would have been extremely difficult and probably would not have succeeded,” concluded a RAND assessment.</w:t>
      </w:r>
      <w:r w:rsidR="00110E9B" w:rsidRPr="00110E9B">
        <w:rPr>
          <w:rStyle w:val="FootnoteReference"/>
          <w:rFonts w:ascii="Cambria" w:hAnsi="Cambria"/>
          <w:sz w:val="24"/>
          <w:szCs w:val="24"/>
        </w:rPr>
        <w:footnoteReference w:id="2"/>
      </w:r>
      <w:r w:rsidR="00110E9B" w:rsidRPr="00110E9B">
        <w:rPr>
          <w:rFonts w:ascii="Cambria" w:hAnsi="Cambria"/>
          <w:sz w:val="24"/>
          <w:szCs w:val="24"/>
        </w:rPr>
        <w:t xml:space="preserve">  </w:t>
      </w:r>
      <w:r w:rsidR="00841B1C">
        <w:rPr>
          <w:rFonts w:ascii="Cambria" w:hAnsi="Cambria"/>
          <w:sz w:val="24"/>
          <w:szCs w:val="24"/>
        </w:rPr>
        <w:t>T</w:t>
      </w:r>
      <w:r w:rsidR="00110E9B" w:rsidRPr="00110E9B">
        <w:rPr>
          <w:rFonts w:ascii="Cambria" w:hAnsi="Cambria"/>
          <w:sz w:val="24"/>
          <w:szCs w:val="24"/>
        </w:rPr>
        <w:t xml:space="preserve">he United States supplied 75 percent of </w:t>
      </w:r>
      <w:proofErr w:type="gramStart"/>
      <w:r w:rsidR="00110E9B" w:rsidRPr="00110E9B">
        <w:rPr>
          <w:rFonts w:ascii="Cambria" w:hAnsi="Cambria"/>
          <w:sz w:val="24"/>
          <w:szCs w:val="24"/>
        </w:rPr>
        <w:t>air-refueling</w:t>
      </w:r>
      <w:proofErr w:type="gramEnd"/>
      <w:r w:rsidR="00110E9B" w:rsidRPr="00110E9B">
        <w:rPr>
          <w:rFonts w:ascii="Cambria" w:hAnsi="Cambria"/>
          <w:sz w:val="24"/>
          <w:szCs w:val="24"/>
        </w:rPr>
        <w:t xml:space="preserve">, 75 percent of the </w:t>
      </w:r>
      <w:r w:rsidR="00110E9B" w:rsidRPr="00110E9B">
        <w:rPr>
          <w:rFonts w:ascii="Cambria" w:eastAsia="Times New Roman" w:hAnsi="Cambria"/>
          <w:sz w:val="24"/>
          <w:szCs w:val="24"/>
          <w:shd w:val="clear" w:color="auto" w:fill="FFFFFF"/>
        </w:rPr>
        <w:t>intelligence, surveillance, and reconnaissance data</w:t>
      </w:r>
      <w:r w:rsidR="00110E9B" w:rsidRPr="00110E9B">
        <w:rPr>
          <w:rFonts w:ascii="Cambria" w:eastAsia="Times New Roman" w:hAnsi="Cambria"/>
          <w:sz w:val="24"/>
          <w:szCs w:val="24"/>
        </w:rPr>
        <w:t>, and had to replenish rapidly depleted allied stocks of precision munitions.</w:t>
      </w:r>
      <w:r w:rsidR="00110E9B" w:rsidRPr="00110E9B">
        <w:rPr>
          <w:rStyle w:val="FootnoteReference"/>
          <w:rFonts w:ascii="Cambria" w:eastAsia="Times New Roman" w:hAnsi="Cambria"/>
          <w:sz w:val="24"/>
          <w:szCs w:val="24"/>
        </w:rPr>
        <w:footnoteReference w:id="3"/>
      </w:r>
      <w:r w:rsidR="00110E9B" w:rsidRPr="00110E9B">
        <w:rPr>
          <w:rFonts w:ascii="Cambria" w:eastAsia="Times New Roman" w:hAnsi="Cambria"/>
          <w:sz w:val="24"/>
          <w:szCs w:val="24"/>
        </w:rPr>
        <w:t xml:space="preserve">  Although many allies wanted to do more, “the military capabilities simply aren’t there,” Secretary of Defense Robert </w:t>
      </w:r>
      <w:proofErr w:type="gramStart"/>
      <w:r w:rsidR="00110E9B" w:rsidRPr="00110E9B">
        <w:rPr>
          <w:rFonts w:ascii="Cambria" w:eastAsia="Times New Roman" w:hAnsi="Cambria"/>
          <w:sz w:val="24"/>
          <w:szCs w:val="24"/>
        </w:rPr>
        <w:t>Gates</w:t>
      </w:r>
      <w:proofErr w:type="gramEnd"/>
      <w:r w:rsidR="005D6112">
        <w:rPr>
          <w:rFonts w:ascii="Cambria" w:eastAsia="Times New Roman" w:hAnsi="Cambria"/>
          <w:sz w:val="24"/>
          <w:szCs w:val="24"/>
        </w:rPr>
        <w:t xml:space="preserve"> said at the time</w:t>
      </w:r>
      <w:r w:rsidR="00110E9B" w:rsidRPr="00110E9B">
        <w:rPr>
          <w:rFonts w:ascii="Cambria" w:eastAsia="Times New Roman" w:hAnsi="Cambria"/>
          <w:sz w:val="24"/>
          <w:szCs w:val="24"/>
        </w:rPr>
        <w:t>.</w:t>
      </w:r>
      <w:r w:rsidR="00110E9B" w:rsidRPr="00110E9B">
        <w:rPr>
          <w:rStyle w:val="FootnoteReference"/>
          <w:rFonts w:ascii="Cambria" w:eastAsia="Times New Roman" w:hAnsi="Cambria"/>
          <w:sz w:val="24"/>
          <w:szCs w:val="24"/>
        </w:rPr>
        <w:footnoteReference w:id="4"/>
      </w:r>
      <w:r w:rsidR="00110E9B" w:rsidRPr="00110E9B">
        <w:rPr>
          <w:rFonts w:ascii="Cambria" w:hAnsi="Cambria"/>
          <w:sz w:val="24"/>
          <w:szCs w:val="24"/>
        </w:rPr>
        <w:t xml:space="preserve">  Making the appropriate investments to correct for such shortfalls in a time of austerity presents a well-understood challenge.</w:t>
      </w:r>
      <w:r w:rsidR="00110E9B" w:rsidRPr="00110E9B">
        <w:rPr>
          <w:rStyle w:val="FootnoteReference"/>
          <w:rFonts w:ascii="Cambria" w:hAnsi="Cambria"/>
          <w:sz w:val="24"/>
          <w:szCs w:val="24"/>
        </w:rPr>
        <w:footnoteReference w:id="5"/>
      </w:r>
    </w:p>
    <w:p w14:paraId="6A3EFBBD" w14:textId="77777777" w:rsidR="00110E9B" w:rsidRPr="00110E9B" w:rsidRDefault="00110E9B" w:rsidP="00870B6A">
      <w:pPr>
        <w:spacing w:after="0" w:line="240" w:lineRule="auto"/>
        <w:contextualSpacing/>
        <w:jc w:val="both"/>
        <w:rPr>
          <w:rFonts w:ascii="Cambria" w:hAnsi="Cambria"/>
          <w:sz w:val="24"/>
          <w:szCs w:val="24"/>
        </w:rPr>
      </w:pPr>
    </w:p>
    <w:p w14:paraId="0D4C7B7F" w14:textId="77777777" w:rsidR="00110E9B" w:rsidRDefault="00D279ED" w:rsidP="00870B6A">
      <w:pPr>
        <w:spacing w:after="0" w:line="240" w:lineRule="auto"/>
        <w:contextualSpacing/>
        <w:jc w:val="both"/>
        <w:rPr>
          <w:rFonts w:ascii="Cambria" w:hAnsi="Cambria"/>
          <w:sz w:val="24"/>
          <w:szCs w:val="24"/>
        </w:rPr>
      </w:pPr>
      <w:r>
        <w:rPr>
          <w:rFonts w:ascii="Cambria" w:hAnsi="Cambria"/>
          <w:sz w:val="24"/>
          <w:szCs w:val="24"/>
        </w:rPr>
        <w:t xml:space="preserve">Less </w:t>
      </w:r>
      <w:r w:rsidR="005F6C19">
        <w:rPr>
          <w:rFonts w:ascii="Cambria" w:hAnsi="Cambria"/>
          <w:sz w:val="24"/>
          <w:szCs w:val="24"/>
        </w:rPr>
        <w:t>attention has been devoted to</w:t>
      </w:r>
      <w:r>
        <w:rPr>
          <w:rFonts w:ascii="Cambria" w:hAnsi="Cambria"/>
          <w:sz w:val="24"/>
          <w:szCs w:val="24"/>
        </w:rPr>
        <w:t xml:space="preserve"> </w:t>
      </w:r>
      <w:r w:rsidR="005F6C19">
        <w:rPr>
          <w:rFonts w:ascii="Cambria" w:hAnsi="Cambria"/>
          <w:sz w:val="24"/>
          <w:szCs w:val="24"/>
        </w:rPr>
        <w:t xml:space="preserve">the </w:t>
      </w:r>
      <w:r w:rsidR="00841B1C">
        <w:rPr>
          <w:rFonts w:ascii="Cambria" w:hAnsi="Cambria"/>
          <w:sz w:val="24"/>
          <w:szCs w:val="24"/>
        </w:rPr>
        <w:t>personnel</w:t>
      </w:r>
      <w:r w:rsidR="00110E9B" w:rsidRPr="00110E9B">
        <w:rPr>
          <w:rFonts w:ascii="Cambria" w:hAnsi="Cambria"/>
          <w:sz w:val="24"/>
          <w:szCs w:val="24"/>
        </w:rPr>
        <w:t xml:space="preserve"> deficiencies </w:t>
      </w:r>
      <w:r>
        <w:rPr>
          <w:rFonts w:ascii="Cambria" w:hAnsi="Cambria"/>
          <w:sz w:val="24"/>
          <w:szCs w:val="24"/>
        </w:rPr>
        <w:t xml:space="preserve">that </w:t>
      </w:r>
      <w:r w:rsidR="008816E5">
        <w:rPr>
          <w:rFonts w:ascii="Cambria" w:hAnsi="Cambria"/>
          <w:sz w:val="24"/>
          <w:szCs w:val="24"/>
        </w:rPr>
        <w:t>hampered operations</w:t>
      </w:r>
      <w:r w:rsidR="00110E9B" w:rsidRPr="00110E9B">
        <w:rPr>
          <w:rFonts w:ascii="Cambria" w:hAnsi="Cambria"/>
          <w:sz w:val="24"/>
          <w:szCs w:val="24"/>
        </w:rPr>
        <w:t>. “</w:t>
      </w:r>
      <w:r>
        <w:rPr>
          <w:rFonts w:ascii="Cambria" w:hAnsi="Cambria"/>
          <w:sz w:val="24"/>
          <w:szCs w:val="24"/>
        </w:rPr>
        <w:t>[</w:t>
      </w:r>
      <w:proofErr w:type="gramStart"/>
      <w:r>
        <w:rPr>
          <w:rFonts w:ascii="Cambria" w:hAnsi="Cambria"/>
          <w:sz w:val="24"/>
          <w:szCs w:val="24"/>
        </w:rPr>
        <w:t>T]</w:t>
      </w:r>
      <w:r w:rsidR="00110E9B" w:rsidRPr="00110E9B">
        <w:rPr>
          <w:rFonts w:ascii="Cambria" w:hAnsi="Cambria"/>
          <w:sz w:val="24"/>
          <w:szCs w:val="24"/>
        </w:rPr>
        <w:t>he</w:t>
      </w:r>
      <w:proofErr w:type="gramEnd"/>
      <w:r w:rsidR="00110E9B" w:rsidRPr="00110E9B">
        <w:rPr>
          <w:rFonts w:ascii="Cambria" w:hAnsi="Cambria"/>
          <w:sz w:val="24"/>
          <w:szCs w:val="24"/>
        </w:rPr>
        <w:t xml:space="preserve"> alliance has failed to devote the necessary resources to developing key skills, including the capacity to find and engage the types of mobile targets common in contemporary operations, plan joint operations in parallel with fast-paced political decision-making, support the </w:t>
      </w:r>
      <w:r w:rsidR="00110E9B" w:rsidRPr="00D279ED">
        <w:rPr>
          <w:rFonts w:ascii="Cambria" w:hAnsi="Cambria"/>
          <w:sz w:val="24"/>
          <w:szCs w:val="24"/>
        </w:rPr>
        <w:t>targeting process with legal advice, and provide timely and reliable information on operationa</w:t>
      </w:r>
      <w:r w:rsidRPr="00D279ED">
        <w:rPr>
          <w:rFonts w:ascii="Cambria" w:hAnsi="Cambria"/>
          <w:sz w:val="24"/>
          <w:szCs w:val="24"/>
        </w:rPr>
        <w:t xml:space="preserve">l developments to the public,” argued U.S. Ambassador to NATO Ivo Daalder and SACEUR Admiral James </w:t>
      </w:r>
      <w:proofErr w:type="spellStart"/>
      <w:r w:rsidRPr="00D279ED">
        <w:rPr>
          <w:rFonts w:ascii="Cambria" w:hAnsi="Cambria"/>
          <w:sz w:val="24"/>
          <w:szCs w:val="24"/>
        </w:rPr>
        <w:t>Stavridis</w:t>
      </w:r>
      <w:proofErr w:type="spellEnd"/>
      <w:r w:rsidRPr="00D279ED">
        <w:rPr>
          <w:rFonts w:ascii="Cambria" w:hAnsi="Cambria"/>
          <w:sz w:val="24"/>
          <w:szCs w:val="24"/>
        </w:rPr>
        <w:t>. “</w:t>
      </w:r>
      <w:r w:rsidR="00110E9B" w:rsidRPr="00D279ED">
        <w:rPr>
          <w:rFonts w:ascii="Cambria" w:hAnsi="Cambria"/>
          <w:sz w:val="24"/>
          <w:szCs w:val="24"/>
        </w:rPr>
        <w:t>U.S. commanders in Europe had to quickly dispatch over 100 military personnel to the NATO targeting center at the outset of the intervention when it became clear that other member states lacked the knowledge and expertise to provide their aircraft with the correct targeting information.”</w:t>
      </w:r>
      <w:r w:rsidR="00110E9B" w:rsidRPr="00D279ED">
        <w:rPr>
          <w:rStyle w:val="FootnoteReference"/>
          <w:rFonts w:ascii="Cambria" w:hAnsi="Cambria"/>
          <w:sz w:val="24"/>
          <w:szCs w:val="24"/>
        </w:rPr>
        <w:footnoteReference w:id="6"/>
      </w:r>
      <w:r w:rsidR="00110E9B" w:rsidRPr="00D279ED">
        <w:rPr>
          <w:rFonts w:ascii="Cambria" w:hAnsi="Cambria"/>
          <w:sz w:val="24"/>
          <w:szCs w:val="24"/>
        </w:rPr>
        <w:t xml:space="preserve">  </w:t>
      </w:r>
      <w:r w:rsidRPr="00D279ED">
        <w:rPr>
          <w:rFonts w:ascii="Cambria" w:hAnsi="Cambria"/>
          <w:sz w:val="24"/>
          <w:szCs w:val="24"/>
        </w:rPr>
        <w:t>Indeed, “[</w:t>
      </w:r>
      <w:proofErr w:type="gramStart"/>
      <w:r w:rsidRPr="00D279ED">
        <w:rPr>
          <w:rFonts w:ascii="Cambria" w:hAnsi="Cambria"/>
          <w:sz w:val="24"/>
          <w:szCs w:val="24"/>
        </w:rPr>
        <w:t>s]</w:t>
      </w:r>
      <w:proofErr w:type="spellStart"/>
      <w:r w:rsidRPr="00D279ED">
        <w:rPr>
          <w:rFonts w:ascii="Cambria" w:hAnsi="Cambria" w:cstheme="minorHAnsi"/>
          <w:sz w:val="24"/>
          <w:szCs w:val="24"/>
        </w:rPr>
        <w:t>everal</w:t>
      </w:r>
      <w:proofErr w:type="spellEnd"/>
      <w:proofErr w:type="gramEnd"/>
      <w:r w:rsidRPr="00D279ED">
        <w:rPr>
          <w:rFonts w:ascii="Cambria" w:hAnsi="Cambria" w:cstheme="minorHAnsi"/>
          <w:sz w:val="24"/>
          <w:szCs w:val="24"/>
        </w:rPr>
        <w:t xml:space="preserve"> Nations reported that personnel assigned to fill staff positions in support of OUP often lacked pre-requisite training and/or experience resulting in a mismatch of people and skills required, and that there was a reduced effectiveness of OUP Headquarters due to the frequent rotation of some assigned personnel.”</w:t>
      </w:r>
      <w:r w:rsidRPr="00D279ED">
        <w:rPr>
          <w:rStyle w:val="FootnoteReference"/>
          <w:rFonts w:ascii="Cambria" w:hAnsi="Cambria"/>
          <w:sz w:val="24"/>
          <w:szCs w:val="24"/>
        </w:rPr>
        <w:footnoteReference w:id="7"/>
      </w:r>
      <w:r w:rsidRPr="00D279ED">
        <w:rPr>
          <w:rFonts w:ascii="Cambria" w:hAnsi="Cambria" w:cstheme="minorHAnsi"/>
          <w:sz w:val="24"/>
          <w:szCs w:val="24"/>
        </w:rPr>
        <w:t xml:space="preserve">  </w:t>
      </w:r>
      <w:r w:rsidR="00110E9B" w:rsidRPr="00D279ED">
        <w:rPr>
          <w:rFonts w:ascii="Cambria" w:hAnsi="Cambria"/>
          <w:sz w:val="24"/>
          <w:szCs w:val="24"/>
        </w:rPr>
        <w:t>Th</w:t>
      </w:r>
      <w:r w:rsidR="00841B1C">
        <w:rPr>
          <w:rFonts w:ascii="Cambria" w:hAnsi="Cambria"/>
          <w:sz w:val="24"/>
          <w:szCs w:val="24"/>
        </w:rPr>
        <w:t xml:space="preserve">e “chaotic transfer of command” </w:t>
      </w:r>
      <w:r w:rsidR="008466E4">
        <w:rPr>
          <w:rFonts w:ascii="Cambria" w:hAnsi="Cambria"/>
          <w:sz w:val="24"/>
          <w:szCs w:val="24"/>
        </w:rPr>
        <w:t xml:space="preserve">from the United States to NATO </w:t>
      </w:r>
      <w:r w:rsidR="00841B1C">
        <w:rPr>
          <w:rFonts w:ascii="Cambria" w:hAnsi="Cambria"/>
          <w:sz w:val="24"/>
          <w:szCs w:val="24"/>
        </w:rPr>
        <w:t>and staff</w:t>
      </w:r>
      <w:r w:rsidR="00110E9B" w:rsidRPr="00D279ED">
        <w:rPr>
          <w:rFonts w:ascii="Cambria" w:hAnsi="Cambria"/>
          <w:sz w:val="24"/>
          <w:szCs w:val="24"/>
        </w:rPr>
        <w:t xml:space="preserve"> shortfalls halved the ability of NATO aircraft to carry out strike sorties—a real impact on operational effectiveness.</w:t>
      </w:r>
      <w:r w:rsidR="00110E9B" w:rsidRPr="00D279ED">
        <w:rPr>
          <w:rStyle w:val="FootnoteReference"/>
          <w:rFonts w:ascii="Cambria" w:hAnsi="Cambria"/>
          <w:sz w:val="24"/>
          <w:szCs w:val="24"/>
        </w:rPr>
        <w:footnoteReference w:id="8"/>
      </w:r>
      <w:r w:rsidRPr="00D279ED">
        <w:rPr>
          <w:rFonts w:ascii="Cambria" w:hAnsi="Cambria"/>
          <w:sz w:val="24"/>
          <w:szCs w:val="24"/>
        </w:rPr>
        <w:t xml:space="preserve"> </w:t>
      </w:r>
    </w:p>
    <w:p w14:paraId="4A2A77F3" w14:textId="77777777" w:rsidR="00D279ED" w:rsidRDefault="00D279ED" w:rsidP="00870B6A">
      <w:pPr>
        <w:spacing w:after="0" w:line="240" w:lineRule="auto"/>
        <w:contextualSpacing/>
        <w:jc w:val="both"/>
        <w:rPr>
          <w:rFonts w:ascii="Cambria" w:hAnsi="Cambria"/>
          <w:sz w:val="24"/>
          <w:szCs w:val="24"/>
        </w:rPr>
      </w:pPr>
    </w:p>
    <w:p w14:paraId="5A4883B0" w14:textId="5151ACC6" w:rsidR="003D44D2" w:rsidRDefault="00D279ED" w:rsidP="00870B6A">
      <w:pPr>
        <w:spacing w:after="0" w:line="240" w:lineRule="auto"/>
        <w:contextualSpacing/>
        <w:jc w:val="both"/>
        <w:rPr>
          <w:rFonts w:ascii="Cambria" w:hAnsi="Cambria"/>
          <w:sz w:val="24"/>
          <w:szCs w:val="24"/>
        </w:rPr>
      </w:pPr>
      <w:r>
        <w:rPr>
          <w:rFonts w:ascii="Cambria" w:hAnsi="Cambria"/>
          <w:sz w:val="24"/>
          <w:szCs w:val="24"/>
        </w:rPr>
        <w:t xml:space="preserve">European NATO nations need </w:t>
      </w:r>
      <w:r w:rsidR="008E6A5D">
        <w:rPr>
          <w:rFonts w:ascii="Cambria" w:hAnsi="Cambria"/>
          <w:sz w:val="24"/>
          <w:szCs w:val="24"/>
        </w:rPr>
        <w:t xml:space="preserve">more and </w:t>
      </w:r>
      <w:r>
        <w:rPr>
          <w:rFonts w:ascii="Cambria" w:hAnsi="Cambria"/>
          <w:sz w:val="24"/>
          <w:szCs w:val="24"/>
        </w:rPr>
        <w:t xml:space="preserve">better staff officers. </w:t>
      </w:r>
      <w:r w:rsidR="008E6A5D">
        <w:rPr>
          <w:rFonts w:ascii="Cambria" w:hAnsi="Cambria"/>
          <w:sz w:val="24"/>
          <w:szCs w:val="24"/>
        </w:rPr>
        <w:t xml:space="preserve">While there are many exceptional officers in Europe, their numbers were too small to meet the requirements of even this limited operation.  Operation Unified Protector exposed a widespread deficiency in the professional knowledge of field-grade European officers.  </w:t>
      </w:r>
      <w:r w:rsidR="00D449FF" w:rsidRPr="00110E9B">
        <w:rPr>
          <w:rFonts w:ascii="Cambria" w:hAnsi="Cambria"/>
          <w:sz w:val="24"/>
          <w:szCs w:val="24"/>
        </w:rPr>
        <w:t>Professional military education (PME) is the place where th</w:t>
      </w:r>
      <w:r w:rsidR="005F6C19">
        <w:rPr>
          <w:rFonts w:ascii="Cambria" w:hAnsi="Cambria"/>
          <w:sz w:val="24"/>
          <w:szCs w:val="24"/>
        </w:rPr>
        <w:t xml:space="preserve">at </w:t>
      </w:r>
      <w:r w:rsidR="00D449FF" w:rsidRPr="00110E9B">
        <w:rPr>
          <w:rFonts w:ascii="Cambria" w:hAnsi="Cambria"/>
          <w:sz w:val="24"/>
          <w:szCs w:val="24"/>
        </w:rPr>
        <w:t xml:space="preserve">knowledge </w:t>
      </w:r>
      <w:r w:rsidR="005F6C19">
        <w:rPr>
          <w:rFonts w:ascii="Cambria" w:hAnsi="Cambria"/>
          <w:sz w:val="24"/>
          <w:szCs w:val="24"/>
        </w:rPr>
        <w:t>is</w:t>
      </w:r>
      <w:r w:rsidR="00D449FF" w:rsidRPr="00110E9B">
        <w:rPr>
          <w:rFonts w:ascii="Cambria" w:hAnsi="Cambria"/>
          <w:sz w:val="24"/>
          <w:szCs w:val="24"/>
        </w:rPr>
        <w:t xml:space="preserve"> developed </w:t>
      </w:r>
      <w:r w:rsidR="00D449FF">
        <w:rPr>
          <w:rFonts w:ascii="Cambria" w:hAnsi="Cambria"/>
          <w:sz w:val="24"/>
          <w:szCs w:val="24"/>
        </w:rPr>
        <w:t xml:space="preserve">and so </w:t>
      </w:r>
      <w:r w:rsidR="005F6C19">
        <w:rPr>
          <w:rFonts w:ascii="Cambria" w:hAnsi="Cambria"/>
          <w:sz w:val="24"/>
          <w:szCs w:val="24"/>
        </w:rPr>
        <w:t>that is where</w:t>
      </w:r>
      <w:r w:rsidR="00D449FF">
        <w:rPr>
          <w:rFonts w:ascii="Cambria" w:hAnsi="Cambria"/>
          <w:sz w:val="24"/>
          <w:szCs w:val="24"/>
        </w:rPr>
        <w:t xml:space="preserve"> corrective Alliance action </w:t>
      </w:r>
      <w:r w:rsidR="005F6C19">
        <w:rPr>
          <w:rFonts w:ascii="Cambria" w:hAnsi="Cambria"/>
          <w:sz w:val="24"/>
          <w:szCs w:val="24"/>
        </w:rPr>
        <w:t>must focus</w:t>
      </w:r>
      <w:r w:rsidR="00D449FF">
        <w:rPr>
          <w:rFonts w:ascii="Cambria" w:hAnsi="Cambria"/>
          <w:sz w:val="24"/>
          <w:szCs w:val="24"/>
        </w:rPr>
        <w:t>.</w:t>
      </w:r>
      <w:r w:rsidR="00245A7C">
        <w:rPr>
          <w:rFonts w:ascii="Cambria" w:hAnsi="Cambria"/>
          <w:sz w:val="24"/>
          <w:szCs w:val="24"/>
        </w:rPr>
        <w:t xml:space="preserve"> </w:t>
      </w:r>
    </w:p>
    <w:p w14:paraId="2AF0CBAF" w14:textId="77777777" w:rsidR="003D44D2" w:rsidRDefault="003D44D2" w:rsidP="00870B6A">
      <w:pPr>
        <w:spacing w:after="0" w:line="240" w:lineRule="auto"/>
        <w:contextualSpacing/>
        <w:jc w:val="both"/>
        <w:rPr>
          <w:rFonts w:ascii="Cambria" w:hAnsi="Cambria"/>
          <w:sz w:val="24"/>
          <w:szCs w:val="24"/>
        </w:rPr>
      </w:pPr>
    </w:p>
    <w:p w14:paraId="72C2BCC2" w14:textId="4E15DA6B" w:rsidR="00245A7C" w:rsidRPr="00084F2D" w:rsidRDefault="003D44D2" w:rsidP="00870B6A">
      <w:pPr>
        <w:spacing w:after="0" w:line="240" w:lineRule="auto"/>
        <w:contextualSpacing/>
        <w:jc w:val="both"/>
        <w:rPr>
          <w:rFonts w:ascii="Cambria" w:hAnsi="Cambria"/>
          <w:sz w:val="24"/>
          <w:szCs w:val="24"/>
        </w:rPr>
      </w:pPr>
      <w:r>
        <w:rPr>
          <w:rFonts w:ascii="Cambria" w:hAnsi="Cambria"/>
          <w:sz w:val="24"/>
          <w:szCs w:val="24"/>
        </w:rPr>
        <w:t xml:space="preserve">The difficulty is that PME </w:t>
      </w:r>
      <w:r w:rsidR="008466E4">
        <w:rPr>
          <w:rFonts w:ascii="Cambria" w:hAnsi="Cambria"/>
          <w:sz w:val="24"/>
          <w:szCs w:val="24"/>
        </w:rPr>
        <w:t xml:space="preserve">is a national responsibility and it </w:t>
      </w:r>
      <w:r>
        <w:rPr>
          <w:rFonts w:ascii="Cambria" w:hAnsi="Cambria"/>
          <w:sz w:val="24"/>
          <w:szCs w:val="24"/>
        </w:rPr>
        <w:t>primarily serves national purposes</w:t>
      </w:r>
      <w:r w:rsidR="008466E4">
        <w:rPr>
          <w:rFonts w:ascii="Cambria" w:hAnsi="Cambria"/>
          <w:sz w:val="24"/>
          <w:szCs w:val="24"/>
        </w:rPr>
        <w:t xml:space="preserve">. Furthermore, </w:t>
      </w:r>
      <w:r w:rsidR="00084F2D">
        <w:rPr>
          <w:rFonts w:ascii="Cambria" w:hAnsi="Cambria"/>
          <w:sz w:val="24"/>
          <w:szCs w:val="24"/>
        </w:rPr>
        <w:t xml:space="preserve">most European PME systems have been preoccupied with converging with their national systems of higher education as part of the Bologna Process.  </w:t>
      </w:r>
      <w:r w:rsidR="00084F2D">
        <w:rPr>
          <w:rFonts w:ascii="Cambria" w:eastAsia="Times New Roman" w:hAnsi="Cambria" w:cstheme="minorHAnsi"/>
          <w:color w:val="000000"/>
          <w:sz w:val="24"/>
          <w:szCs w:val="24"/>
          <w:lang w:val="en-GB" w:eastAsia="da-DK"/>
        </w:rPr>
        <w:t xml:space="preserve">These </w:t>
      </w:r>
      <w:r w:rsidR="003B74D9">
        <w:rPr>
          <w:rFonts w:ascii="Cambria" w:eastAsia="Times New Roman" w:hAnsi="Cambria" w:cstheme="minorHAnsi"/>
          <w:color w:val="000000"/>
          <w:sz w:val="24"/>
          <w:szCs w:val="24"/>
          <w:lang w:val="en-GB" w:eastAsia="da-DK"/>
        </w:rPr>
        <w:t>domestic</w:t>
      </w:r>
      <w:r>
        <w:rPr>
          <w:rFonts w:ascii="Cambria" w:eastAsia="Times New Roman" w:hAnsi="Cambria" w:cstheme="minorHAnsi"/>
          <w:color w:val="000000"/>
          <w:sz w:val="24"/>
          <w:szCs w:val="24"/>
          <w:lang w:val="en-GB" w:eastAsia="da-DK"/>
        </w:rPr>
        <w:t xml:space="preserve"> initiatives</w:t>
      </w:r>
      <w:r w:rsidR="00084F2D">
        <w:rPr>
          <w:rFonts w:ascii="Cambria" w:eastAsia="Times New Roman" w:hAnsi="Cambria" w:cstheme="minorHAnsi"/>
          <w:color w:val="000000"/>
          <w:sz w:val="24"/>
          <w:szCs w:val="24"/>
          <w:lang w:val="en-GB" w:eastAsia="da-DK"/>
        </w:rPr>
        <w:t xml:space="preserve"> have </w:t>
      </w:r>
      <w:r w:rsidR="008466E4">
        <w:rPr>
          <w:rFonts w:ascii="Cambria" w:eastAsia="Times New Roman" w:hAnsi="Cambria" w:cstheme="minorHAnsi"/>
          <w:color w:val="000000"/>
          <w:sz w:val="24"/>
          <w:szCs w:val="24"/>
          <w:lang w:val="en-GB" w:eastAsia="da-DK"/>
        </w:rPr>
        <w:t>diffuse</w:t>
      </w:r>
      <w:r w:rsidR="00084F2D">
        <w:rPr>
          <w:rFonts w:ascii="Cambria" w:eastAsia="Times New Roman" w:hAnsi="Cambria" w:cstheme="minorHAnsi"/>
          <w:color w:val="000000"/>
          <w:sz w:val="24"/>
          <w:szCs w:val="24"/>
          <w:lang w:val="en-GB" w:eastAsia="da-DK"/>
        </w:rPr>
        <w:t>d</w:t>
      </w:r>
      <w:r w:rsidR="008466E4">
        <w:rPr>
          <w:rFonts w:ascii="Cambria" w:eastAsia="Times New Roman" w:hAnsi="Cambria" w:cstheme="minorHAnsi"/>
          <w:color w:val="000000"/>
          <w:sz w:val="24"/>
          <w:szCs w:val="24"/>
          <w:lang w:val="en-GB" w:eastAsia="da-DK"/>
        </w:rPr>
        <w:t xml:space="preserve"> any momentum for international harmonization</w:t>
      </w:r>
      <w:r w:rsidR="00084F2D">
        <w:rPr>
          <w:rFonts w:ascii="Cambria" w:eastAsia="Times New Roman" w:hAnsi="Cambria" w:cstheme="minorHAnsi"/>
          <w:color w:val="000000"/>
          <w:sz w:val="24"/>
          <w:szCs w:val="24"/>
          <w:lang w:val="en-GB" w:eastAsia="da-DK"/>
        </w:rPr>
        <w:t xml:space="preserve"> within PME</w:t>
      </w:r>
      <w:r w:rsidR="008466E4">
        <w:rPr>
          <w:rFonts w:ascii="Cambria" w:eastAsia="Times New Roman" w:hAnsi="Cambria" w:cstheme="minorHAnsi"/>
          <w:color w:val="000000"/>
          <w:sz w:val="24"/>
          <w:szCs w:val="24"/>
          <w:lang w:val="en-GB" w:eastAsia="da-DK"/>
        </w:rPr>
        <w:t>.</w:t>
      </w:r>
      <w:r w:rsidR="003B74D9">
        <w:rPr>
          <w:rFonts w:ascii="Cambria" w:eastAsia="Times New Roman" w:hAnsi="Cambria"/>
          <w:color w:val="000000"/>
          <w:sz w:val="24"/>
          <w:szCs w:val="24"/>
          <w:lang w:val="en-GB" w:eastAsia="da-DK"/>
        </w:rPr>
        <w:t xml:space="preserve">  But now that domestic convergence is complete in most European states, international harmonization can commence.</w:t>
      </w:r>
    </w:p>
    <w:p w14:paraId="33D0438E" w14:textId="77777777" w:rsidR="00245A7C" w:rsidRDefault="00245A7C" w:rsidP="00870B6A">
      <w:pPr>
        <w:spacing w:after="0" w:line="240" w:lineRule="auto"/>
        <w:contextualSpacing/>
        <w:jc w:val="both"/>
        <w:rPr>
          <w:rFonts w:ascii="Cambria" w:eastAsia="Times New Roman" w:hAnsi="Cambria" w:cstheme="minorHAnsi"/>
          <w:color w:val="000000"/>
          <w:sz w:val="24"/>
          <w:szCs w:val="24"/>
          <w:lang w:val="en-GB" w:eastAsia="da-DK"/>
        </w:rPr>
      </w:pPr>
    </w:p>
    <w:p w14:paraId="57BC79C6" w14:textId="77777777" w:rsidR="00F2300A" w:rsidRDefault="003D44D2" w:rsidP="00870B6A">
      <w:pPr>
        <w:spacing w:after="0" w:line="240" w:lineRule="auto"/>
        <w:contextualSpacing/>
        <w:jc w:val="both"/>
        <w:rPr>
          <w:rFonts w:ascii="Cambria" w:hAnsi="Cambria"/>
          <w:sz w:val="24"/>
          <w:szCs w:val="24"/>
        </w:rPr>
      </w:pPr>
      <w:r>
        <w:rPr>
          <w:rFonts w:ascii="Cambria" w:eastAsia="Times New Roman" w:hAnsi="Cambria" w:cstheme="minorHAnsi"/>
          <w:color w:val="000000"/>
          <w:sz w:val="24"/>
          <w:szCs w:val="24"/>
          <w:lang w:val="en-GB" w:eastAsia="da-DK"/>
        </w:rPr>
        <w:t xml:space="preserve">Solutions could be sought at the level of the Alliance.  </w:t>
      </w:r>
      <w:r w:rsidR="00D449FF">
        <w:rPr>
          <w:rFonts w:ascii="Cambria" w:hAnsi="Cambria"/>
          <w:sz w:val="24"/>
          <w:szCs w:val="24"/>
        </w:rPr>
        <w:t xml:space="preserve">NATO possesses two PME institutions that are clearly relevant to this situation, </w:t>
      </w:r>
      <w:r w:rsidR="00706849">
        <w:rPr>
          <w:rFonts w:ascii="Cambria" w:hAnsi="Cambria"/>
          <w:sz w:val="24"/>
          <w:szCs w:val="24"/>
        </w:rPr>
        <w:t>the NATO Defence College and</w:t>
      </w:r>
      <w:r w:rsidR="00D449FF">
        <w:rPr>
          <w:rFonts w:ascii="Cambria" w:hAnsi="Cambria"/>
          <w:sz w:val="24"/>
          <w:szCs w:val="24"/>
        </w:rPr>
        <w:t xml:space="preserve"> the NATO School at </w:t>
      </w:r>
      <w:r w:rsidR="00D449FF" w:rsidRPr="00D449FF">
        <w:rPr>
          <w:rFonts w:ascii="Cambria" w:eastAsia="Times New Roman" w:hAnsi="Cambria" w:cstheme="minorHAnsi"/>
          <w:color w:val="000000"/>
          <w:sz w:val="24"/>
          <w:szCs w:val="24"/>
          <w:lang w:val="en-GB" w:eastAsia="da-DK"/>
        </w:rPr>
        <w:t>Oberammergau</w:t>
      </w:r>
      <w:r>
        <w:rPr>
          <w:rFonts w:ascii="Cambria" w:eastAsia="Times New Roman" w:hAnsi="Cambria" w:cstheme="minorHAnsi"/>
          <w:color w:val="000000"/>
          <w:sz w:val="24"/>
          <w:szCs w:val="24"/>
          <w:lang w:val="en-GB" w:eastAsia="da-DK"/>
        </w:rPr>
        <w:t>, but neither</w:t>
      </w:r>
      <w:r w:rsidR="00D449FF">
        <w:rPr>
          <w:rFonts w:ascii="Cambria" w:eastAsia="Times New Roman" w:hAnsi="Cambria" w:cstheme="minorHAnsi"/>
          <w:color w:val="000000"/>
          <w:sz w:val="24"/>
          <w:szCs w:val="24"/>
          <w:lang w:val="en-GB" w:eastAsia="da-DK"/>
        </w:rPr>
        <w:t xml:space="preserve"> </w:t>
      </w:r>
      <w:r w:rsidR="00841B1C">
        <w:rPr>
          <w:rFonts w:ascii="Cambria" w:eastAsia="Times New Roman" w:hAnsi="Cambria" w:cstheme="minorHAnsi"/>
          <w:color w:val="000000"/>
          <w:sz w:val="24"/>
          <w:szCs w:val="24"/>
          <w:lang w:val="en-GB" w:eastAsia="da-DK"/>
        </w:rPr>
        <w:t>possesses</w:t>
      </w:r>
      <w:r w:rsidR="00D449FF">
        <w:rPr>
          <w:rFonts w:ascii="Cambria" w:eastAsia="Times New Roman" w:hAnsi="Cambria" w:cstheme="minorHAnsi"/>
          <w:color w:val="000000"/>
          <w:sz w:val="24"/>
          <w:szCs w:val="24"/>
          <w:lang w:val="en-GB" w:eastAsia="da-DK"/>
        </w:rPr>
        <w:t xml:space="preserve"> the capacity to </w:t>
      </w:r>
      <w:r w:rsidR="00F2300A">
        <w:rPr>
          <w:rFonts w:ascii="Cambria" w:eastAsia="Times New Roman" w:hAnsi="Cambria" w:cstheme="minorHAnsi"/>
          <w:color w:val="000000"/>
          <w:sz w:val="24"/>
          <w:szCs w:val="24"/>
          <w:lang w:val="en-GB" w:eastAsia="da-DK"/>
        </w:rPr>
        <w:t>appropriately educate and train the officer corps of European NATO nations</w:t>
      </w:r>
      <w:r w:rsidR="00706849">
        <w:rPr>
          <w:rFonts w:ascii="Cambria" w:eastAsia="Times New Roman" w:hAnsi="Cambria" w:cstheme="minorHAnsi"/>
          <w:color w:val="000000"/>
          <w:sz w:val="24"/>
          <w:szCs w:val="24"/>
          <w:lang w:val="en-GB" w:eastAsia="da-DK"/>
        </w:rPr>
        <w:t>, even if most were willing to delegate this task to them</w:t>
      </w:r>
      <w:r w:rsidR="00F2300A">
        <w:rPr>
          <w:rFonts w:ascii="Cambria" w:eastAsia="Times New Roman" w:hAnsi="Cambria" w:cstheme="minorHAnsi"/>
          <w:color w:val="000000"/>
          <w:sz w:val="24"/>
          <w:szCs w:val="24"/>
          <w:lang w:val="en-GB" w:eastAsia="da-DK"/>
        </w:rPr>
        <w:t>.</w:t>
      </w:r>
      <w:r w:rsidR="00AA6EA7">
        <w:rPr>
          <w:rStyle w:val="FootnoteReference"/>
          <w:rFonts w:ascii="Cambria" w:eastAsia="Times New Roman" w:hAnsi="Cambria"/>
          <w:color w:val="000000"/>
          <w:sz w:val="24"/>
          <w:szCs w:val="24"/>
          <w:lang w:val="en-GB" w:eastAsia="da-DK"/>
        </w:rPr>
        <w:footnoteReference w:id="9"/>
      </w:r>
      <w:r w:rsidR="00F2300A">
        <w:rPr>
          <w:rFonts w:ascii="Cambria" w:eastAsia="Times New Roman" w:hAnsi="Cambria" w:cstheme="minorHAnsi"/>
          <w:color w:val="000000"/>
          <w:sz w:val="24"/>
          <w:szCs w:val="24"/>
          <w:lang w:val="en-GB" w:eastAsia="da-DK"/>
        </w:rPr>
        <w:t xml:space="preserve"> Rather, </w:t>
      </w:r>
      <w:r w:rsidR="008466E4">
        <w:rPr>
          <w:rFonts w:ascii="Cambria" w:eastAsia="Times New Roman" w:hAnsi="Cambria" w:cstheme="minorHAnsi"/>
          <w:color w:val="000000"/>
          <w:sz w:val="24"/>
          <w:szCs w:val="24"/>
          <w:lang w:val="en-GB" w:eastAsia="da-DK"/>
        </w:rPr>
        <w:t>improvement of</w:t>
      </w:r>
      <w:r w:rsidR="00F2300A">
        <w:rPr>
          <w:rFonts w:ascii="Cambria" w:eastAsia="Times New Roman" w:hAnsi="Cambria" w:cstheme="minorHAnsi"/>
          <w:color w:val="000000"/>
          <w:sz w:val="24"/>
          <w:szCs w:val="24"/>
          <w:lang w:val="en-GB" w:eastAsia="da-DK"/>
        </w:rPr>
        <w:t xml:space="preserve"> PME </w:t>
      </w:r>
      <w:r w:rsidR="00841B1C">
        <w:rPr>
          <w:rFonts w:ascii="Cambria" w:eastAsia="Times New Roman" w:hAnsi="Cambria" w:cstheme="minorHAnsi"/>
          <w:color w:val="000000"/>
          <w:sz w:val="24"/>
          <w:szCs w:val="24"/>
          <w:lang w:val="en-GB" w:eastAsia="da-DK"/>
        </w:rPr>
        <w:t xml:space="preserve">is more likely if undertaken by </w:t>
      </w:r>
      <w:r w:rsidR="00706849" w:rsidRPr="00110E9B">
        <w:rPr>
          <w:rFonts w:ascii="Cambria" w:hAnsi="Cambria"/>
          <w:sz w:val="24"/>
          <w:szCs w:val="24"/>
        </w:rPr>
        <w:t xml:space="preserve">is </w:t>
      </w:r>
      <w:r w:rsidR="00F2300A">
        <w:rPr>
          <w:rFonts w:ascii="Cambria" w:eastAsia="Times New Roman" w:hAnsi="Cambria" w:cstheme="minorHAnsi"/>
          <w:color w:val="000000"/>
          <w:sz w:val="24"/>
          <w:szCs w:val="24"/>
          <w:lang w:val="en-GB" w:eastAsia="da-DK"/>
        </w:rPr>
        <w:t>small groups of strategically proximate states that commit to one another that they will together adopt reforms to i</w:t>
      </w:r>
      <w:r w:rsidR="008466E4">
        <w:rPr>
          <w:rFonts w:ascii="Cambria" w:eastAsia="Times New Roman" w:hAnsi="Cambria" w:cstheme="minorHAnsi"/>
          <w:color w:val="000000"/>
          <w:sz w:val="24"/>
          <w:szCs w:val="24"/>
          <w:lang w:val="en-GB" w:eastAsia="da-DK"/>
        </w:rPr>
        <w:t>ncrease</w:t>
      </w:r>
      <w:r w:rsidR="00F2300A">
        <w:rPr>
          <w:rFonts w:ascii="Cambria" w:eastAsia="Times New Roman" w:hAnsi="Cambria" w:cstheme="minorHAnsi"/>
          <w:color w:val="000000"/>
          <w:sz w:val="24"/>
          <w:szCs w:val="24"/>
          <w:lang w:val="en-GB" w:eastAsia="da-DK"/>
        </w:rPr>
        <w:t xml:space="preserve"> the ability of their officers to conduct international military operations.  </w:t>
      </w:r>
    </w:p>
    <w:p w14:paraId="74987CF0" w14:textId="77777777" w:rsidR="00D449FF" w:rsidRDefault="00D449FF" w:rsidP="00870B6A">
      <w:pPr>
        <w:spacing w:after="0" w:line="240" w:lineRule="auto"/>
        <w:contextualSpacing/>
        <w:jc w:val="both"/>
        <w:rPr>
          <w:rFonts w:ascii="Cambria" w:hAnsi="Cambria"/>
          <w:sz w:val="24"/>
          <w:szCs w:val="24"/>
        </w:rPr>
      </w:pPr>
    </w:p>
    <w:p w14:paraId="18FE057E" w14:textId="4CEF3221" w:rsidR="00110E9B" w:rsidRPr="00110E9B" w:rsidRDefault="00110E9B" w:rsidP="00870B6A">
      <w:pPr>
        <w:spacing w:after="0" w:line="240" w:lineRule="auto"/>
        <w:contextualSpacing/>
        <w:jc w:val="both"/>
        <w:rPr>
          <w:rFonts w:ascii="Cambria" w:hAnsi="Cambria"/>
          <w:sz w:val="24"/>
          <w:szCs w:val="24"/>
        </w:rPr>
      </w:pPr>
      <w:r w:rsidRPr="00110E9B">
        <w:rPr>
          <w:rFonts w:ascii="Cambria" w:hAnsi="Cambria"/>
          <w:sz w:val="24"/>
          <w:szCs w:val="24"/>
        </w:rPr>
        <w:t>The Nordic countries—Norway, Denmark, Sweden, and Finland—</w:t>
      </w:r>
      <w:r w:rsidR="00C73518">
        <w:rPr>
          <w:rFonts w:ascii="Cambria" w:hAnsi="Cambria"/>
          <w:sz w:val="24"/>
          <w:szCs w:val="24"/>
        </w:rPr>
        <w:t>present just such a</w:t>
      </w:r>
      <w:r w:rsidRPr="00110E9B">
        <w:rPr>
          <w:rFonts w:ascii="Cambria" w:hAnsi="Cambria"/>
          <w:sz w:val="24"/>
          <w:szCs w:val="24"/>
        </w:rPr>
        <w:t xml:space="preserve"> model of cooperation.</w:t>
      </w:r>
      <w:r w:rsidRPr="00110E9B">
        <w:rPr>
          <w:rStyle w:val="FootnoteReference"/>
          <w:rFonts w:ascii="Cambria" w:hAnsi="Cambria"/>
          <w:sz w:val="24"/>
          <w:szCs w:val="24"/>
        </w:rPr>
        <w:footnoteReference w:id="10"/>
      </w:r>
      <w:r w:rsidRPr="00110E9B">
        <w:rPr>
          <w:rFonts w:ascii="Cambria" w:hAnsi="Cambria"/>
          <w:sz w:val="24"/>
          <w:szCs w:val="24"/>
        </w:rPr>
        <w:t xml:space="preserve">  </w:t>
      </w:r>
      <w:r w:rsidR="00CA6560">
        <w:rPr>
          <w:rFonts w:ascii="Cambria" w:hAnsi="Cambria"/>
          <w:sz w:val="24"/>
          <w:szCs w:val="24"/>
        </w:rPr>
        <w:t xml:space="preserve">They have </w:t>
      </w:r>
      <w:r w:rsidR="00FC7631">
        <w:rPr>
          <w:rFonts w:ascii="Cambria" w:hAnsi="Cambria"/>
          <w:sz w:val="24"/>
          <w:szCs w:val="24"/>
        </w:rPr>
        <w:t xml:space="preserve">cooperated in peacekeeping operations and conducted joint training courses </w:t>
      </w:r>
      <w:r w:rsidR="00345D80">
        <w:rPr>
          <w:rFonts w:ascii="Cambria" w:hAnsi="Cambria"/>
          <w:sz w:val="24"/>
          <w:szCs w:val="24"/>
        </w:rPr>
        <w:t xml:space="preserve">for military and civilian personnel </w:t>
      </w:r>
      <w:r w:rsidR="00FC7631">
        <w:rPr>
          <w:rFonts w:ascii="Cambria" w:hAnsi="Cambria"/>
          <w:sz w:val="24"/>
          <w:szCs w:val="24"/>
        </w:rPr>
        <w:t>for decades</w:t>
      </w:r>
      <w:r w:rsidR="00345D80">
        <w:rPr>
          <w:rFonts w:ascii="Cambria" w:hAnsi="Cambria"/>
          <w:sz w:val="24"/>
          <w:szCs w:val="24"/>
        </w:rPr>
        <w:t xml:space="preserve"> under the banners of NORDSAMFN and NORDCAPS.</w:t>
      </w:r>
      <w:r w:rsidR="00345D80">
        <w:rPr>
          <w:rStyle w:val="FootnoteReference"/>
          <w:rFonts w:ascii="Cambria" w:hAnsi="Cambria"/>
          <w:sz w:val="24"/>
          <w:szCs w:val="24"/>
        </w:rPr>
        <w:footnoteReference w:id="11"/>
      </w:r>
      <w:r w:rsidR="00FC7631">
        <w:rPr>
          <w:rFonts w:ascii="Cambria" w:hAnsi="Cambria"/>
          <w:sz w:val="24"/>
          <w:szCs w:val="24"/>
        </w:rPr>
        <w:t xml:space="preserve"> </w:t>
      </w:r>
      <w:r w:rsidRPr="00110E9B">
        <w:rPr>
          <w:rFonts w:ascii="Cambria" w:hAnsi="Cambria"/>
          <w:sz w:val="24"/>
          <w:szCs w:val="24"/>
        </w:rPr>
        <w:t>U</w:t>
      </w:r>
      <w:r w:rsidR="00223054">
        <w:rPr>
          <w:rFonts w:ascii="Cambria" w:hAnsi="Cambria"/>
          <w:sz w:val="24"/>
          <w:szCs w:val="24"/>
        </w:rPr>
        <w:t>nder the NORDEFCO framework,</w:t>
      </w:r>
      <w:r w:rsidR="000B0507">
        <w:rPr>
          <w:rStyle w:val="FootnoteReference"/>
          <w:rFonts w:ascii="Cambria" w:hAnsi="Cambria"/>
          <w:sz w:val="24"/>
          <w:szCs w:val="24"/>
        </w:rPr>
        <w:footnoteReference w:id="12"/>
      </w:r>
      <w:r w:rsidR="00223054">
        <w:rPr>
          <w:rFonts w:ascii="Cambria" w:hAnsi="Cambria"/>
          <w:sz w:val="24"/>
          <w:szCs w:val="24"/>
        </w:rPr>
        <w:t xml:space="preserve"> </w:t>
      </w:r>
      <w:r w:rsidRPr="00110E9B">
        <w:rPr>
          <w:rFonts w:ascii="Cambria" w:hAnsi="Cambria"/>
          <w:sz w:val="24"/>
          <w:szCs w:val="24"/>
        </w:rPr>
        <w:t xml:space="preserve">they have </w:t>
      </w:r>
      <w:r w:rsidR="007643E1">
        <w:rPr>
          <w:rFonts w:ascii="Cambria" w:hAnsi="Cambria"/>
          <w:sz w:val="24"/>
          <w:szCs w:val="24"/>
          <w:shd w:val="clear" w:color="auto" w:fill="FFFFFF"/>
        </w:rPr>
        <w:t xml:space="preserve">formed a working group </w:t>
      </w:r>
      <w:r w:rsidRPr="00110E9B">
        <w:rPr>
          <w:rFonts w:ascii="Cambria" w:hAnsi="Cambria"/>
          <w:sz w:val="24"/>
          <w:szCs w:val="24"/>
          <w:shd w:val="clear" w:color="auto" w:fill="FFFFFF"/>
        </w:rPr>
        <w:t xml:space="preserve">to </w:t>
      </w:r>
      <w:r w:rsidR="00345D80">
        <w:rPr>
          <w:rFonts w:ascii="Cambria" w:hAnsi="Cambria"/>
          <w:sz w:val="24"/>
          <w:szCs w:val="24"/>
          <w:shd w:val="clear" w:color="auto" w:fill="FFFFFF"/>
        </w:rPr>
        <w:t xml:space="preserve">further </w:t>
      </w:r>
      <w:r w:rsidRPr="00110E9B">
        <w:rPr>
          <w:rFonts w:ascii="Cambria" w:hAnsi="Cambria"/>
          <w:sz w:val="24"/>
          <w:szCs w:val="24"/>
          <w:shd w:val="clear" w:color="auto" w:fill="FFFFFF"/>
        </w:rPr>
        <w:t xml:space="preserve">develop </w:t>
      </w:r>
      <w:r w:rsidR="007643E1">
        <w:rPr>
          <w:rFonts w:ascii="Cambria" w:hAnsi="Cambria"/>
          <w:sz w:val="24"/>
          <w:szCs w:val="24"/>
          <w:shd w:val="clear" w:color="auto" w:fill="FFFFFF"/>
        </w:rPr>
        <w:t xml:space="preserve">such </w:t>
      </w:r>
      <w:r w:rsidRPr="00110E9B">
        <w:rPr>
          <w:rFonts w:ascii="Cambria" w:hAnsi="Cambria"/>
          <w:sz w:val="24"/>
          <w:szCs w:val="24"/>
          <w:shd w:val="clear" w:color="auto" w:fill="FFFFFF"/>
        </w:rPr>
        <w:t>“common courses for common purposes.”</w:t>
      </w:r>
      <w:r w:rsidRPr="00110E9B">
        <w:rPr>
          <w:rStyle w:val="FootnoteReference"/>
          <w:rFonts w:ascii="Cambria" w:hAnsi="Cambria"/>
          <w:sz w:val="24"/>
          <w:szCs w:val="24"/>
          <w:shd w:val="clear" w:color="auto" w:fill="FFFFFF"/>
        </w:rPr>
        <w:footnoteReference w:id="13"/>
      </w:r>
      <w:r w:rsidR="007643E1">
        <w:rPr>
          <w:rFonts w:ascii="Cambria" w:hAnsi="Cambria"/>
          <w:sz w:val="24"/>
          <w:szCs w:val="24"/>
          <w:shd w:val="clear" w:color="auto" w:fill="FFFFFF"/>
        </w:rPr>
        <w:t xml:space="preserve">  </w:t>
      </w:r>
      <w:r w:rsidR="003B74D9">
        <w:rPr>
          <w:rFonts w:ascii="Cambria" w:hAnsi="Cambria"/>
          <w:sz w:val="24"/>
          <w:szCs w:val="24"/>
          <w:shd w:val="clear" w:color="auto" w:fill="FFFFFF"/>
        </w:rPr>
        <w:t>Now that all but Denmark have completed their Bologna reforms t</w:t>
      </w:r>
      <w:r w:rsidR="007643E1">
        <w:rPr>
          <w:rFonts w:ascii="Cambria" w:hAnsi="Cambria"/>
          <w:sz w:val="24"/>
          <w:szCs w:val="24"/>
          <w:shd w:val="clear" w:color="auto" w:fill="FFFFFF"/>
        </w:rPr>
        <w:t>he</w:t>
      </w:r>
      <w:r w:rsidR="002400FA">
        <w:rPr>
          <w:rFonts w:ascii="Cambria" w:hAnsi="Cambria"/>
          <w:sz w:val="24"/>
          <w:szCs w:val="24"/>
          <w:shd w:val="clear" w:color="auto" w:fill="FFFFFF"/>
        </w:rPr>
        <w:t>y</w:t>
      </w:r>
      <w:r w:rsidR="007643E1">
        <w:rPr>
          <w:rFonts w:ascii="Cambria" w:hAnsi="Cambria"/>
          <w:sz w:val="24"/>
          <w:szCs w:val="24"/>
          <w:shd w:val="clear" w:color="auto" w:fill="FFFFFF"/>
        </w:rPr>
        <w:t xml:space="preserve"> </w:t>
      </w:r>
      <w:r w:rsidRPr="00110E9B">
        <w:rPr>
          <w:rFonts w:ascii="Cambria" w:hAnsi="Cambria"/>
          <w:sz w:val="24"/>
          <w:szCs w:val="24"/>
          <w:shd w:val="clear" w:color="auto" w:fill="FFFFFF"/>
        </w:rPr>
        <w:t xml:space="preserve">are considering </w:t>
      </w:r>
      <w:r w:rsidRPr="00110E9B">
        <w:rPr>
          <w:rFonts w:ascii="Cambria" w:hAnsi="Cambria"/>
          <w:sz w:val="24"/>
          <w:szCs w:val="24"/>
        </w:rPr>
        <w:t>ways to facilitate cooperation in the education of the field-grade officers that would populate the staff of any future NATO-led expeditionary operation.</w:t>
      </w:r>
      <w:r w:rsidR="005618A5">
        <w:rPr>
          <w:rFonts w:ascii="Cambria" w:hAnsi="Cambria"/>
          <w:sz w:val="24"/>
          <w:szCs w:val="24"/>
        </w:rPr>
        <w:t xml:space="preserve"> </w:t>
      </w:r>
    </w:p>
    <w:p w14:paraId="64256174" w14:textId="77777777" w:rsidR="00110E9B" w:rsidRPr="00110E9B" w:rsidRDefault="00110E9B" w:rsidP="00870B6A">
      <w:pPr>
        <w:spacing w:after="0" w:line="240" w:lineRule="auto"/>
        <w:contextualSpacing/>
        <w:jc w:val="both"/>
        <w:rPr>
          <w:rFonts w:ascii="Cambria" w:hAnsi="Cambria"/>
          <w:sz w:val="24"/>
          <w:szCs w:val="24"/>
        </w:rPr>
      </w:pPr>
    </w:p>
    <w:p w14:paraId="09187F34" w14:textId="77777777" w:rsidR="00110E9B" w:rsidRPr="00110E9B" w:rsidRDefault="00AA6EA7" w:rsidP="00870B6A">
      <w:pPr>
        <w:spacing w:after="0" w:line="240" w:lineRule="auto"/>
        <w:contextualSpacing/>
        <w:jc w:val="both"/>
        <w:rPr>
          <w:rFonts w:ascii="Cambria" w:hAnsi="Cambria"/>
          <w:sz w:val="24"/>
          <w:szCs w:val="24"/>
        </w:rPr>
      </w:pPr>
      <w:r>
        <w:rPr>
          <w:rFonts w:ascii="Cambria" w:hAnsi="Cambria"/>
          <w:sz w:val="24"/>
          <w:szCs w:val="24"/>
        </w:rPr>
        <w:t>W</w:t>
      </w:r>
      <w:r w:rsidR="00110E9B" w:rsidRPr="00110E9B">
        <w:rPr>
          <w:rFonts w:ascii="Cambria" w:hAnsi="Cambria"/>
          <w:sz w:val="24"/>
          <w:szCs w:val="24"/>
        </w:rPr>
        <w:t xml:space="preserve">e use the Nordic case to consider how strategically proximate groups of NATO allies can cooperate to overcome the dearth of qualified staff officers across the Alliance.  We first discuss professional military education in general, the measures that have been undertaken thus far by NORDECO to increase cooperation in </w:t>
      </w:r>
      <w:r w:rsidR="00841B1C">
        <w:rPr>
          <w:rFonts w:ascii="Cambria" w:hAnsi="Cambria"/>
          <w:sz w:val="24"/>
          <w:szCs w:val="24"/>
        </w:rPr>
        <w:t>PME</w:t>
      </w:r>
      <w:r w:rsidR="00110E9B" w:rsidRPr="00110E9B">
        <w:rPr>
          <w:rFonts w:ascii="Cambria" w:hAnsi="Cambria"/>
          <w:sz w:val="24"/>
          <w:szCs w:val="24"/>
        </w:rPr>
        <w:t xml:space="preserve">, and the substantial barriers that exist to systematic cooperation in their command and staff courses. We then consider the principles adopted to further European cooperation in civilian higher education and suggest the areas where </w:t>
      </w:r>
      <w:r w:rsidR="00841B1C">
        <w:rPr>
          <w:rFonts w:ascii="Cambria" w:hAnsi="Cambria"/>
          <w:sz w:val="24"/>
          <w:szCs w:val="24"/>
        </w:rPr>
        <w:t>they apply to PME</w:t>
      </w:r>
      <w:r w:rsidR="00110E9B" w:rsidRPr="00110E9B">
        <w:rPr>
          <w:rFonts w:ascii="Cambria" w:hAnsi="Cambria"/>
          <w:sz w:val="24"/>
          <w:szCs w:val="24"/>
        </w:rPr>
        <w:t xml:space="preserve">. </w:t>
      </w:r>
      <w:r w:rsidR="00266B3F">
        <w:rPr>
          <w:rFonts w:ascii="Cambria" w:hAnsi="Cambria"/>
          <w:sz w:val="24"/>
          <w:szCs w:val="24"/>
        </w:rPr>
        <w:t>W</w:t>
      </w:r>
      <w:r w:rsidR="00110E9B" w:rsidRPr="00110E9B">
        <w:rPr>
          <w:rFonts w:ascii="Cambria" w:hAnsi="Cambria"/>
          <w:sz w:val="24"/>
          <w:szCs w:val="24"/>
        </w:rPr>
        <w:t>e then consid</w:t>
      </w:r>
      <w:r w:rsidR="00266B3F">
        <w:rPr>
          <w:rFonts w:ascii="Cambria" w:hAnsi="Cambria"/>
          <w:sz w:val="24"/>
          <w:szCs w:val="24"/>
        </w:rPr>
        <w:t>er</w:t>
      </w:r>
      <w:r w:rsidR="00110E9B" w:rsidRPr="00110E9B">
        <w:rPr>
          <w:rFonts w:ascii="Cambria" w:hAnsi="Cambria"/>
          <w:sz w:val="24"/>
          <w:szCs w:val="24"/>
        </w:rPr>
        <w:t xml:space="preserve"> </w:t>
      </w:r>
      <w:r w:rsidR="00DA64C3">
        <w:rPr>
          <w:rFonts w:ascii="Cambria" w:hAnsi="Cambria"/>
          <w:sz w:val="24"/>
          <w:szCs w:val="24"/>
        </w:rPr>
        <w:t>three</w:t>
      </w:r>
      <w:r w:rsidR="00110E9B" w:rsidRPr="00110E9B">
        <w:rPr>
          <w:rFonts w:ascii="Cambria" w:hAnsi="Cambria"/>
          <w:sz w:val="24"/>
          <w:szCs w:val="24"/>
        </w:rPr>
        <w:t xml:space="preserve"> alternative paths that increased cooperation in PME at the level of the command and staff course could take: a Nordic Defence College, standardized national command and staff courses, </w:t>
      </w:r>
      <w:r w:rsidR="00DA64C3">
        <w:rPr>
          <w:rFonts w:ascii="Cambria" w:hAnsi="Cambria"/>
          <w:sz w:val="24"/>
          <w:szCs w:val="24"/>
        </w:rPr>
        <w:t xml:space="preserve">and a core curriculum of </w:t>
      </w:r>
      <w:r w:rsidR="00110E9B" w:rsidRPr="00110E9B">
        <w:rPr>
          <w:rFonts w:ascii="Cambria" w:hAnsi="Cambria"/>
          <w:sz w:val="24"/>
          <w:szCs w:val="24"/>
        </w:rPr>
        <w:t>com</w:t>
      </w:r>
      <w:r w:rsidR="00DA64C3">
        <w:rPr>
          <w:rFonts w:ascii="Cambria" w:hAnsi="Cambria"/>
          <w:sz w:val="24"/>
          <w:szCs w:val="24"/>
        </w:rPr>
        <w:t>mon courses for common purposes</w:t>
      </w:r>
      <w:r w:rsidR="00110E9B" w:rsidRPr="00110E9B">
        <w:rPr>
          <w:rFonts w:ascii="Cambria" w:hAnsi="Cambria"/>
          <w:sz w:val="24"/>
          <w:szCs w:val="24"/>
        </w:rPr>
        <w:t>.  We conclude with</w:t>
      </w:r>
      <w:r w:rsidR="00841B1C">
        <w:rPr>
          <w:rFonts w:ascii="Cambria" w:hAnsi="Cambria"/>
          <w:sz w:val="24"/>
          <w:szCs w:val="24"/>
        </w:rPr>
        <w:t xml:space="preserve"> a discussion of how the Alliance can facilitate clusters of cooperation between strategically proximate groups of Allies</w:t>
      </w:r>
      <w:r w:rsidR="007024E3">
        <w:rPr>
          <w:rFonts w:ascii="Cambria" w:hAnsi="Cambria"/>
          <w:sz w:val="24"/>
          <w:szCs w:val="24"/>
        </w:rPr>
        <w:t xml:space="preserve"> to improve the</w:t>
      </w:r>
      <w:r w:rsidR="005F6C19">
        <w:rPr>
          <w:rFonts w:ascii="Cambria" w:hAnsi="Cambria"/>
          <w:sz w:val="24"/>
          <w:szCs w:val="24"/>
        </w:rPr>
        <w:t>ir</w:t>
      </w:r>
      <w:r w:rsidR="007024E3">
        <w:rPr>
          <w:rFonts w:ascii="Cambria" w:hAnsi="Cambria"/>
          <w:sz w:val="24"/>
          <w:szCs w:val="24"/>
        </w:rPr>
        <w:t xml:space="preserve"> number of knowledgeable and skilled staff officers.</w:t>
      </w:r>
    </w:p>
    <w:p w14:paraId="0BD49C20" w14:textId="77777777" w:rsidR="00282A61" w:rsidRPr="00110E9B" w:rsidRDefault="00282A61" w:rsidP="00870B6A">
      <w:pPr>
        <w:pStyle w:val="Heading5"/>
        <w:spacing w:before="0" w:after="0" w:line="240" w:lineRule="auto"/>
        <w:contextualSpacing/>
        <w:jc w:val="both"/>
        <w:rPr>
          <w:rFonts w:ascii="Cambria" w:hAnsi="Cambria"/>
          <w:b w:val="0"/>
          <w:i w:val="0"/>
          <w:sz w:val="24"/>
          <w:szCs w:val="24"/>
          <w:highlight w:val="green"/>
        </w:rPr>
      </w:pPr>
    </w:p>
    <w:p w14:paraId="76762DDF" w14:textId="77777777" w:rsidR="004E54EA" w:rsidRPr="004E54EA" w:rsidRDefault="004E54EA" w:rsidP="00870B6A">
      <w:pPr>
        <w:spacing w:after="0" w:line="240" w:lineRule="auto"/>
        <w:contextualSpacing/>
        <w:jc w:val="both"/>
        <w:rPr>
          <w:rFonts w:asciiTheme="majorHAnsi" w:hAnsiTheme="majorHAnsi"/>
          <w:sz w:val="24"/>
          <w:szCs w:val="24"/>
        </w:rPr>
      </w:pPr>
      <w:bookmarkStart w:id="2" w:name="_Toc230156288"/>
    </w:p>
    <w:p w14:paraId="2ECAB155" w14:textId="77777777" w:rsidR="00932216" w:rsidRPr="004446C7" w:rsidRDefault="00932216" w:rsidP="00870B6A">
      <w:pPr>
        <w:pStyle w:val="Heading1"/>
        <w:spacing w:before="0" w:line="240" w:lineRule="auto"/>
        <w:contextualSpacing/>
        <w:jc w:val="both"/>
        <w:rPr>
          <w:rFonts w:asciiTheme="majorHAnsi" w:hAnsiTheme="majorHAnsi"/>
          <w:color w:val="auto"/>
          <w:sz w:val="24"/>
          <w:szCs w:val="24"/>
        </w:rPr>
      </w:pPr>
      <w:r w:rsidRPr="004446C7">
        <w:rPr>
          <w:rFonts w:asciiTheme="majorHAnsi" w:hAnsiTheme="majorHAnsi"/>
          <w:color w:val="auto"/>
          <w:sz w:val="24"/>
          <w:szCs w:val="24"/>
        </w:rPr>
        <w:t>A National Affair</w:t>
      </w:r>
      <w:bookmarkEnd w:id="2"/>
    </w:p>
    <w:p w14:paraId="3101E452" w14:textId="77777777" w:rsidR="003F03DB" w:rsidRPr="003F03DB" w:rsidRDefault="003F03DB" w:rsidP="00870B6A">
      <w:pPr>
        <w:spacing w:after="0" w:line="240" w:lineRule="auto"/>
        <w:contextualSpacing/>
        <w:jc w:val="both"/>
        <w:rPr>
          <w:rFonts w:asciiTheme="majorHAnsi" w:hAnsiTheme="majorHAnsi"/>
          <w:sz w:val="24"/>
          <w:szCs w:val="24"/>
        </w:rPr>
      </w:pPr>
    </w:p>
    <w:p w14:paraId="30A0DA7B" w14:textId="77777777" w:rsidR="00932216" w:rsidRPr="002316D2" w:rsidRDefault="00932216" w:rsidP="00870B6A">
      <w:pPr>
        <w:spacing w:after="0" w:line="240" w:lineRule="auto"/>
        <w:contextualSpacing/>
        <w:jc w:val="both"/>
        <w:rPr>
          <w:rFonts w:asciiTheme="majorHAnsi" w:hAnsiTheme="majorHAnsi"/>
          <w:i/>
          <w:sz w:val="24"/>
          <w:szCs w:val="24"/>
        </w:rPr>
      </w:pPr>
      <w:r w:rsidRPr="002316D2">
        <w:rPr>
          <w:rFonts w:asciiTheme="majorHAnsi" w:hAnsiTheme="majorHAnsi"/>
          <w:i/>
          <w:sz w:val="24"/>
          <w:szCs w:val="24"/>
        </w:rPr>
        <w:t>Professional Military Education</w:t>
      </w:r>
    </w:p>
    <w:p w14:paraId="25EA7F78" w14:textId="77777777" w:rsidR="00932216" w:rsidRPr="003F03DB" w:rsidRDefault="00932216" w:rsidP="00870B6A">
      <w:pPr>
        <w:spacing w:after="0" w:line="240" w:lineRule="auto"/>
        <w:contextualSpacing/>
        <w:jc w:val="both"/>
        <w:rPr>
          <w:rFonts w:asciiTheme="majorHAnsi" w:hAnsiTheme="majorHAnsi"/>
          <w:sz w:val="24"/>
          <w:szCs w:val="24"/>
        </w:rPr>
      </w:pPr>
      <w:r w:rsidRPr="003F03DB">
        <w:rPr>
          <w:rFonts w:asciiTheme="majorHAnsi" w:hAnsiTheme="majorHAnsi"/>
          <w:sz w:val="24"/>
          <w:szCs w:val="24"/>
        </w:rPr>
        <w:t xml:space="preserve">The military is a profession that utilizes specialized knowledge with regard to the use of force to achieve the purposes of the state.  Military officers are the possessors of this specialized and esoteric knowledge.  At the highest levels, it is their job to advise political leaders as to the wisdom of using military force in particular ways to achieve particular objectives.  At middle levels, it is their job to manage, lead, and command military personnel in the use of violence as well as ancillary functions.  Finally, at lower levels, it is their job to utilize violence with skill and discrimination to achieve tactical objectives on the battlefield.  Professional military education is an integral part of the development of military officers.  It </w:t>
      </w:r>
      <w:r w:rsidR="00C21815">
        <w:rPr>
          <w:rFonts w:asciiTheme="majorHAnsi" w:hAnsiTheme="majorHAnsi"/>
          <w:sz w:val="24"/>
          <w:szCs w:val="24"/>
        </w:rPr>
        <w:t>expands</w:t>
      </w:r>
      <w:r w:rsidRPr="003F03DB">
        <w:rPr>
          <w:rFonts w:asciiTheme="majorHAnsi" w:hAnsiTheme="majorHAnsi"/>
          <w:sz w:val="24"/>
          <w:szCs w:val="24"/>
        </w:rPr>
        <w:t xml:space="preserve"> their knowledge and ability to exercise judgment so as to carry out these tasks competently.  </w:t>
      </w:r>
    </w:p>
    <w:p w14:paraId="3028EFD1" w14:textId="77777777" w:rsidR="003F03DB" w:rsidRPr="003F03DB" w:rsidRDefault="003F03DB" w:rsidP="00870B6A">
      <w:pPr>
        <w:spacing w:after="0" w:line="240" w:lineRule="auto"/>
        <w:contextualSpacing/>
        <w:jc w:val="both"/>
        <w:rPr>
          <w:rFonts w:asciiTheme="majorHAnsi" w:hAnsiTheme="majorHAnsi"/>
          <w:sz w:val="24"/>
          <w:szCs w:val="24"/>
        </w:rPr>
      </w:pPr>
    </w:p>
    <w:p w14:paraId="2D84FADF" w14:textId="77777777" w:rsidR="008A3CCF" w:rsidRDefault="00932216" w:rsidP="00870B6A">
      <w:pPr>
        <w:spacing w:after="0" w:line="240" w:lineRule="auto"/>
        <w:contextualSpacing/>
        <w:jc w:val="both"/>
        <w:rPr>
          <w:rFonts w:asciiTheme="majorHAnsi" w:hAnsiTheme="majorHAnsi"/>
          <w:sz w:val="24"/>
          <w:szCs w:val="24"/>
        </w:rPr>
      </w:pPr>
      <w:r w:rsidRPr="003F03DB">
        <w:rPr>
          <w:rFonts w:asciiTheme="majorHAnsi" w:hAnsiTheme="majorHAnsi"/>
          <w:sz w:val="24"/>
          <w:szCs w:val="24"/>
        </w:rPr>
        <w:t xml:space="preserve">Professional military education is a mix of higher education and vocational-technical training.  Over the course of their careers, officers undergo training to develop the skills necessary to perform practical tasks at the tactical level.  They also undertake education to develop the knowledge and intellectual acumen to command, lead, and manage their subordinates as well as to advise their superiors in the chain of command as to the most appropriate course of action.  This developmental process is usually quite explicit, with particular training and </w:t>
      </w:r>
      <w:r w:rsidR="000B0507">
        <w:rPr>
          <w:rFonts w:asciiTheme="majorHAnsi" w:hAnsiTheme="majorHAnsi"/>
          <w:sz w:val="24"/>
          <w:szCs w:val="24"/>
        </w:rPr>
        <w:t>educational objectives tied to specific assignments, c</w:t>
      </w:r>
      <w:r w:rsidRPr="003F03DB">
        <w:rPr>
          <w:rFonts w:asciiTheme="majorHAnsi" w:hAnsiTheme="majorHAnsi"/>
          <w:sz w:val="24"/>
          <w:szCs w:val="24"/>
        </w:rPr>
        <w:t>areer progression</w:t>
      </w:r>
      <w:r w:rsidR="000B0507">
        <w:rPr>
          <w:rFonts w:asciiTheme="majorHAnsi" w:hAnsiTheme="majorHAnsi"/>
          <w:sz w:val="24"/>
          <w:szCs w:val="24"/>
        </w:rPr>
        <w:t>,</w:t>
      </w:r>
      <w:r w:rsidRPr="003F03DB">
        <w:rPr>
          <w:rFonts w:asciiTheme="majorHAnsi" w:hAnsiTheme="majorHAnsi"/>
          <w:sz w:val="24"/>
          <w:szCs w:val="24"/>
        </w:rPr>
        <w:t xml:space="preserve"> and promotion.  Moreover, as with most professions, there is a general consistency across borders, with the body of skills and knowledge to be mastered reflecting the tasks that these professionals undertake at different levels of responsibility</w:t>
      </w:r>
      <w:r w:rsidR="00C21815">
        <w:rPr>
          <w:rFonts w:asciiTheme="majorHAnsi" w:hAnsiTheme="majorHAnsi"/>
          <w:sz w:val="24"/>
          <w:szCs w:val="24"/>
        </w:rPr>
        <w:t xml:space="preserve"> albeit in a national context</w:t>
      </w:r>
      <w:r w:rsidRPr="003F03DB">
        <w:rPr>
          <w:rFonts w:asciiTheme="majorHAnsi" w:hAnsiTheme="majorHAnsi"/>
          <w:sz w:val="24"/>
          <w:szCs w:val="24"/>
        </w:rPr>
        <w:t xml:space="preserve">.  </w:t>
      </w:r>
    </w:p>
    <w:p w14:paraId="6198FD99" w14:textId="77777777" w:rsidR="008A3CCF" w:rsidRDefault="008A3CCF" w:rsidP="00870B6A">
      <w:pPr>
        <w:spacing w:after="0" w:line="240" w:lineRule="auto"/>
        <w:contextualSpacing/>
        <w:jc w:val="both"/>
        <w:rPr>
          <w:rFonts w:asciiTheme="majorHAnsi" w:hAnsiTheme="majorHAnsi"/>
          <w:sz w:val="24"/>
          <w:szCs w:val="24"/>
        </w:rPr>
      </w:pPr>
    </w:p>
    <w:p w14:paraId="4545C673" w14:textId="77777777" w:rsidR="00AD04F6" w:rsidRPr="00230EC8" w:rsidRDefault="00AD04F6" w:rsidP="00870B6A">
      <w:pPr>
        <w:spacing w:after="0" w:line="240" w:lineRule="auto"/>
        <w:contextualSpacing/>
        <w:jc w:val="both"/>
        <w:rPr>
          <w:rFonts w:asciiTheme="majorHAnsi" w:hAnsiTheme="majorHAnsi"/>
          <w:sz w:val="24"/>
          <w:szCs w:val="24"/>
        </w:rPr>
      </w:pPr>
      <w:r w:rsidRPr="00230EC8">
        <w:rPr>
          <w:rFonts w:asciiTheme="majorHAnsi" w:hAnsiTheme="majorHAnsi"/>
          <w:sz w:val="24"/>
          <w:szCs w:val="24"/>
        </w:rPr>
        <w:t>PME takes pl</w:t>
      </w:r>
      <w:r>
        <w:rPr>
          <w:rFonts w:asciiTheme="majorHAnsi" w:hAnsiTheme="majorHAnsi"/>
          <w:sz w:val="24"/>
          <w:szCs w:val="24"/>
        </w:rPr>
        <w:t>ace at four</w:t>
      </w:r>
      <w:r w:rsidRPr="00230EC8">
        <w:rPr>
          <w:rFonts w:asciiTheme="majorHAnsi" w:hAnsiTheme="majorHAnsi"/>
          <w:sz w:val="24"/>
          <w:szCs w:val="24"/>
        </w:rPr>
        <w:t xml:space="preserve"> levels: at the undergraduate level where cadets are prepared to be commissioned as officers, </w:t>
      </w:r>
      <w:r>
        <w:rPr>
          <w:rFonts w:asciiTheme="majorHAnsi" w:hAnsiTheme="majorHAnsi"/>
          <w:sz w:val="24"/>
          <w:szCs w:val="24"/>
        </w:rPr>
        <w:t xml:space="preserve">a specialty phase where officers focus on a functional specialization and small unit leadership, </w:t>
      </w:r>
      <w:r w:rsidRPr="00230EC8">
        <w:rPr>
          <w:rFonts w:asciiTheme="majorHAnsi" w:hAnsiTheme="majorHAnsi"/>
          <w:sz w:val="24"/>
          <w:szCs w:val="24"/>
        </w:rPr>
        <w:t>a</w:t>
      </w:r>
      <w:r w:rsidR="00870B6A">
        <w:rPr>
          <w:rFonts w:asciiTheme="majorHAnsi" w:hAnsiTheme="majorHAnsi"/>
          <w:sz w:val="24"/>
          <w:szCs w:val="24"/>
        </w:rPr>
        <w:t>n</w:t>
      </w:r>
      <w:r w:rsidRPr="00230EC8">
        <w:rPr>
          <w:rFonts w:asciiTheme="majorHAnsi" w:hAnsiTheme="majorHAnsi"/>
          <w:sz w:val="24"/>
          <w:szCs w:val="24"/>
        </w:rPr>
        <w:t xml:space="preserve"> intermediate level where officers transition from being technically proficient in their specialty to being proficient at command and staff processes, and a senior level where officers transition to being strategic thinkers.  Each level addresses different needs of the profession.  Pre-commissioning PME introduces a large number of students to the military profession, educates them in national issues and processes, socializes them into military culture, and molds them into loyal agents that are licensed to command others to use violence on behalf of the state.  </w:t>
      </w:r>
      <w:r w:rsidR="00235AB5">
        <w:rPr>
          <w:rFonts w:asciiTheme="majorHAnsi" w:hAnsiTheme="majorHAnsi"/>
          <w:sz w:val="24"/>
          <w:szCs w:val="24"/>
        </w:rPr>
        <w:t xml:space="preserve">Such education lasts 3-4 years.  </w:t>
      </w:r>
      <w:r>
        <w:rPr>
          <w:rFonts w:asciiTheme="majorHAnsi" w:hAnsiTheme="majorHAnsi"/>
          <w:sz w:val="24"/>
          <w:szCs w:val="24"/>
        </w:rPr>
        <w:t>The specialty phase produces tactically proficient junior officers and company-grade leaders</w:t>
      </w:r>
      <w:r w:rsidR="00235AB5">
        <w:rPr>
          <w:rFonts w:asciiTheme="majorHAnsi" w:hAnsiTheme="majorHAnsi"/>
          <w:sz w:val="24"/>
          <w:szCs w:val="24"/>
        </w:rPr>
        <w:t xml:space="preserve"> and last 3-6 months</w:t>
      </w:r>
      <w:r>
        <w:rPr>
          <w:rFonts w:asciiTheme="majorHAnsi" w:hAnsiTheme="majorHAnsi"/>
          <w:sz w:val="24"/>
          <w:szCs w:val="24"/>
        </w:rPr>
        <w:t xml:space="preserve">.  </w:t>
      </w:r>
      <w:r w:rsidRPr="00230EC8">
        <w:rPr>
          <w:rFonts w:asciiTheme="majorHAnsi" w:hAnsiTheme="majorHAnsi"/>
          <w:sz w:val="24"/>
          <w:szCs w:val="24"/>
        </w:rPr>
        <w:t xml:space="preserve">Intermediate PME </w:t>
      </w:r>
      <w:r w:rsidR="00870B6A">
        <w:rPr>
          <w:rFonts w:asciiTheme="majorHAnsi" w:hAnsiTheme="majorHAnsi"/>
          <w:sz w:val="24"/>
          <w:szCs w:val="24"/>
        </w:rPr>
        <w:t xml:space="preserve">at the command and staff level </w:t>
      </w:r>
      <w:r w:rsidRPr="00230EC8">
        <w:rPr>
          <w:rFonts w:asciiTheme="majorHAnsi" w:hAnsiTheme="majorHAnsi"/>
          <w:sz w:val="24"/>
          <w:szCs w:val="24"/>
        </w:rPr>
        <w:t>develo</w:t>
      </w:r>
      <w:r w:rsidR="00870B6A">
        <w:rPr>
          <w:rFonts w:asciiTheme="majorHAnsi" w:hAnsiTheme="majorHAnsi"/>
          <w:sz w:val="24"/>
          <w:szCs w:val="24"/>
        </w:rPr>
        <w:t>ps a smaller number of officers who</w:t>
      </w:r>
      <w:r w:rsidRPr="00230EC8">
        <w:rPr>
          <w:rFonts w:asciiTheme="majorHAnsi" w:hAnsiTheme="majorHAnsi"/>
          <w:sz w:val="24"/>
          <w:szCs w:val="24"/>
        </w:rPr>
        <w:t xml:space="preserve"> have been promoted to field-grade ranks</w:t>
      </w:r>
      <w:r w:rsidR="00C21815">
        <w:rPr>
          <w:rFonts w:asciiTheme="majorHAnsi" w:hAnsiTheme="majorHAnsi"/>
          <w:sz w:val="24"/>
          <w:szCs w:val="24"/>
        </w:rPr>
        <w:t xml:space="preserve"> </w:t>
      </w:r>
      <w:r w:rsidRPr="00230EC8">
        <w:rPr>
          <w:rFonts w:asciiTheme="majorHAnsi" w:hAnsiTheme="majorHAnsi"/>
          <w:sz w:val="24"/>
          <w:szCs w:val="24"/>
        </w:rPr>
        <w:t>and have been selected for further development.  These officers form the middle management of the military</w:t>
      </w:r>
      <w:r w:rsidR="00235AB5">
        <w:rPr>
          <w:rFonts w:asciiTheme="majorHAnsi" w:hAnsiTheme="majorHAnsi"/>
          <w:sz w:val="24"/>
          <w:szCs w:val="24"/>
        </w:rPr>
        <w:t xml:space="preserve"> and are educated for 10-24 months</w:t>
      </w:r>
      <w:r w:rsidRPr="00230EC8">
        <w:rPr>
          <w:rFonts w:asciiTheme="majorHAnsi" w:hAnsiTheme="majorHAnsi"/>
          <w:sz w:val="24"/>
          <w:szCs w:val="24"/>
        </w:rPr>
        <w:t xml:space="preserve">.  Senior PME at the war college level develops an even smaller cadre of officers to become senior leaders of their services and interact with civilian policy makers at the highest levels.  </w:t>
      </w:r>
      <w:r w:rsidR="00235AB5">
        <w:rPr>
          <w:rFonts w:asciiTheme="majorHAnsi" w:hAnsiTheme="majorHAnsi"/>
          <w:sz w:val="24"/>
          <w:szCs w:val="24"/>
        </w:rPr>
        <w:t>Such courses last 1-3 years.</w:t>
      </w:r>
    </w:p>
    <w:p w14:paraId="20DB0AE3" w14:textId="77777777" w:rsidR="00AD04F6" w:rsidRDefault="00AD04F6" w:rsidP="00870B6A">
      <w:pPr>
        <w:spacing w:after="0" w:line="240" w:lineRule="auto"/>
        <w:contextualSpacing/>
        <w:jc w:val="both"/>
        <w:rPr>
          <w:rFonts w:asciiTheme="majorHAnsi" w:hAnsiTheme="majorHAnsi"/>
          <w:sz w:val="24"/>
          <w:szCs w:val="24"/>
        </w:rPr>
      </w:pPr>
    </w:p>
    <w:p w14:paraId="0E3D6987" w14:textId="77777777" w:rsidR="00AD04F6" w:rsidRDefault="00AD04F6"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The potential for international cooperation in PME </w:t>
      </w:r>
      <w:r w:rsidR="004C6968">
        <w:rPr>
          <w:rFonts w:asciiTheme="majorHAnsi" w:hAnsiTheme="majorHAnsi"/>
          <w:sz w:val="24"/>
          <w:szCs w:val="24"/>
        </w:rPr>
        <w:t>increases across these</w:t>
      </w:r>
      <w:r>
        <w:rPr>
          <w:rFonts w:asciiTheme="majorHAnsi" w:hAnsiTheme="majorHAnsi"/>
          <w:sz w:val="24"/>
          <w:szCs w:val="24"/>
        </w:rPr>
        <w:t xml:space="preserve"> levels. </w:t>
      </w:r>
      <w:r w:rsidR="007508AF">
        <w:rPr>
          <w:rFonts w:asciiTheme="majorHAnsi" w:hAnsiTheme="majorHAnsi"/>
          <w:sz w:val="24"/>
          <w:szCs w:val="24"/>
        </w:rPr>
        <w:t>P</w:t>
      </w:r>
      <w:r w:rsidRPr="00230EC8">
        <w:rPr>
          <w:rFonts w:asciiTheme="majorHAnsi" w:hAnsiTheme="majorHAnsi"/>
          <w:sz w:val="24"/>
          <w:szCs w:val="24"/>
        </w:rPr>
        <w:t>re-commissioning education at the undergr</w:t>
      </w:r>
      <w:r w:rsidR="007508AF">
        <w:rPr>
          <w:rFonts w:asciiTheme="majorHAnsi" w:hAnsiTheme="majorHAnsi"/>
          <w:sz w:val="24"/>
          <w:szCs w:val="24"/>
        </w:rPr>
        <w:t xml:space="preserve">aduate level </w:t>
      </w:r>
      <w:r w:rsidRPr="00230EC8">
        <w:rPr>
          <w:rFonts w:asciiTheme="majorHAnsi" w:hAnsiTheme="majorHAnsi"/>
          <w:sz w:val="24"/>
          <w:szCs w:val="24"/>
        </w:rPr>
        <w:t>is the state’s primary</w:t>
      </w:r>
      <w:r w:rsidR="00BA2F42">
        <w:rPr>
          <w:rFonts w:asciiTheme="majorHAnsi" w:hAnsiTheme="majorHAnsi"/>
          <w:sz w:val="24"/>
          <w:szCs w:val="24"/>
        </w:rPr>
        <w:t xml:space="preserve"> opportunity to indoctrinate</w:t>
      </w:r>
      <w:r w:rsidRPr="00230EC8">
        <w:rPr>
          <w:rFonts w:asciiTheme="majorHAnsi" w:hAnsiTheme="majorHAnsi"/>
          <w:sz w:val="24"/>
          <w:szCs w:val="24"/>
        </w:rPr>
        <w:t xml:space="preserve"> future officer</w:t>
      </w:r>
      <w:r w:rsidR="00BA2F42">
        <w:rPr>
          <w:rFonts w:asciiTheme="majorHAnsi" w:hAnsiTheme="majorHAnsi"/>
          <w:sz w:val="24"/>
          <w:szCs w:val="24"/>
        </w:rPr>
        <w:t xml:space="preserve">s to be loyal and to </w:t>
      </w:r>
      <w:r w:rsidRPr="00230EC8">
        <w:rPr>
          <w:rFonts w:asciiTheme="majorHAnsi" w:hAnsiTheme="majorHAnsi"/>
          <w:sz w:val="24"/>
          <w:szCs w:val="24"/>
        </w:rPr>
        <w:t xml:space="preserve">introduce them to the national system of government, military procedures, and other topics specially geared toward the home state.  </w:t>
      </w:r>
      <w:r w:rsidR="00235AB5" w:rsidRPr="00230EC8">
        <w:rPr>
          <w:rFonts w:asciiTheme="majorHAnsi" w:hAnsiTheme="majorHAnsi"/>
          <w:sz w:val="24"/>
          <w:szCs w:val="24"/>
        </w:rPr>
        <w:t>Institutions in other states cannot meet these needs</w:t>
      </w:r>
      <w:r w:rsidRPr="00230EC8">
        <w:rPr>
          <w:rFonts w:asciiTheme="majorHAnsi" w:hAnsiTheme="majorHAnsi"/>
          <w:sz w:val="24"/>
          <w:szCs w:val="24"/>
        </w:rPr>
        <w:t>.</w:t>
      </w:r>
      <w:r w:rsidR="007508AF">
        <w:rPr>
          <w:rFonts w:asciiTheme="majorHAnsi" w:hAnsiTheme="majorHAnsi"/>
          <w:sz w:val="24"/>
          <w:szCs w:val="24"/>
        </w:rPr>
        <w:t xml:space="preserve">  At the specialty level, many technical aspects are common enough to permit cooperation: maintenance of common vehicles and airframes and individual proficiency in the use of common weapon</w:t>
      </w:r>
      <w:r w:rsidR="00870B6A">
        <w:rPr>
          <w:rFonts w:asciiTheme="majorHAnsi" w:hAnsiTheme="majorHAnsi"/>
          <w:sz w:val="24"/>
          <w:szCs w:val="24"/>
        </w:rPr>
        <w:t xml:space="preserve"> system</w:t>
      </w:r>
      <w:r w:rsidR="007508AF">
        <w:rPr>
          <w:rFonts w:asciiTheme="majorHAnsi" w:hAnsiTheme="majorHAnsi"/>
          <w:sz w:val="24"/>
          <w:szCs w:val="24"/>
        </w:rPr>
        <w:t>s have been pursued for many years.</w:t>
      </w:r>
      <w:r w:rsidR="007508AF">
        <w:rPr>
          <w:rStyle w:val="FootnoteReference"/>
          <w:rFonts w:asciiTheme="majorHAnsi" w:hAnsiTheme="majorHAnsi"/>
          <w:sz w:val="24"/>
          <w:szCs w:val="24"/>
        </w:rPr>
        <w:footnoteReference w:id="14"/>
      </w:r>
      <w:r w:rsidR="004C6968">
        <w:rPr>
          <w:rFonts w:asciiTheme="majorHAnsi" w:hAnsiTheme="majorHAnsi"/>
          <w:sz w:val="24"/>
          <w:szCs w:val="24"/>
        </w:rPr>
        <w:t xml:space="preserve">  Other aspects, such as small unit operations and leadership, depend upon national doctrine and command structures and therefore are less amenable to international cooperation.  </w:t>
      </w:r>
    </w:p>
    <w:p w14:paraId="65062952" w14:textId="77777777" w:rsidR="00AD04F6" w:rsidRDefault="00AD04F6" w:rsidP="00870B6A">
      <w:pPr>
        <w:spacing w:after="0" w:line="240" w:lineRule="auto"/>
        <w:contextualSpacing/>
        <w:jc w:val="both"/>
        <w:rPr>
          <w:rFonts w:asciiTheme="majorHAnsi" w:hAnsiTheme="majorHAnsi"/>
          <w:sz w:val="24"/>
          <w:szCs w:val="24"/>
        </w:rPr>
      </w:pPr>
    </w:p>
    <w:p w14:paraId="386C215B" w14:textId="77777777" w:rsidR="00C45DE2" w:rsidRPr="003F03DB" w:rsidRDefault="008A3CCF" w:rsidP="00870B6A">
      <w:pPr>
        <w:spacing w:after="0" w:line="240" w:lineRule="auto"/>
        <w:contextualSpacing/>
        <w:jc w:val="both"/>
        <w:rPr>
          <w:rFonts w:asciiTheme="majorHAnsi" w:hAnsiTheme="majorHAnsi"/>
          <w:sz w:val="24"/>
          <w:szCs w:val="24"/>
        </w:rPr>
      </w:pPr>
      <w:r w:rsidRPr="003F03DB">
        <w:rPr>
          <w:rFonts w:asciiTheme="majorHAnsi" w:hAnsiTheme="majorHAnsi"/>
          <w:sz w:val="24"/>
          <w:szCs w:val="24"/>
        </w:rPr>
        <w:t xml:space="preserve">At the command and staff </w:t>
      </w:r>
      <w:r>
        <w:rPr>
          <w:rFonts w:asciiTheme="majorHAnsi" w:hAnsiTheme="majorHAnsi"/>
          <w:sz w:val="24"/>
          <w:szCs w:val="24"/>
        </w:rPr>
        <w:t>college level</w:t>
      </w:r>
      <w:r w:rsidRPr="003F03DB">
        <w:rPr>
          <w:rFonts w:asciiTheme="majorHAnsi" w:hAnsiTheme="majorHAnsi"/>
          <w:sz w:val="24"/>
          <w:szCs w:val="24"/>
        </w:rPr>
        <w:t xml:space="preserve">, </w:t>
      </w:r>
      <w:r>
        <w:rPr>
          <w:rFonts w:asciiTheme="majorHAnsi" w:hAnsiTheme="majorHAnsi"/>
          <w:sz w:val="24"/>
          <w:szCs w:val="24"/>
        </w:rPr>
        <w:t>high</w:t>
      </w:r>
      <w:r w:rsidRPr="003F03DB">
        <w:rPr>
          <w:rFonts w:asciiTheme="majorHAnsi" w:hAnsiTheme="majorHAnsi"/>
          <w:sz w:val="24"/>
          <w:szCs w:val="24"/>
        </w:rPr>
        <w:t xml:space="preserve">er education in military science is combined with training in staff processes and leadership skills for </w:t>
      </w:r>
      <w:r w:rsidR="00870B6A">
        <w:rPr>
          <w:rFonts w:asciiTheme="majorHAnsi" w:hAnsiTheme="majorHAnsi"/>
          <w:sz w:val="24"/>
          <w:szCs w:val="24"/>
        </w:rPr>
        <w:t xml:space="preserve">mid-career </w:t>
      </w:r>
      <w:r w:rsidRPr="003F03DB">
        <w:rPr>
          <w:rFonts w:asciiTheme="majorHAnsi" w:hAnsiTheme="majorHAnsi"/>
          <w:sz w:val="24"/>
          <w:szCs w:val="24"/>
        </w:rPr>
        <w:t xml:space="preserve">officers. </w:t>
      </w:r>
      <w:r w:rsidR="00C45DE2">
        <w:rPr>
          <w:rFonts w:asciiTheme="majorHAnsi" w:hAnsiTheme="majorHAnsi"/>
          <w:sz w:val="24"/>
          <w:szCs w:val="24"/>
        </w:rPr>
        <w:t xml:space="preserve"> </w:t>
      </w:r>
      <w:r w:rsidR="00870B6A">
        <w:rPr>
          <w:rFonts w:asciiTheme="majorHAnsi" w:hAnsiTheme="majorHAnsi"/>
          <w:sz w:val="24"/>
          <w:szCs w:val="24"/>
        </w:rPr>
        <w:t xml:space="preserve">It is designed to foster critical thinking skills as well as impart particular knowledge.  </w:t>
      </w:r>
      <w:r w:rsidR="00C45DE2">
        <w:rPr>
          <w:rFonts w:asciiTheme="majorHAnsi" w:hAnsiTheme="majorHAnsi"/>
          <w:sz w:val="24"/>
          <w:szCs w:val="24"/>
        </w:rPr>
        <w:t>The typical curriculum is divided into military theory and history, international politics, national decision-making, leadership, and joint military operations, perhaps supplemented with elective courses, a war-gaming exercise, and a thesis.  M</w:t>
      </w:r>
      <w:r w:rsidR="00C45DE2" w:rsidRPr="003F03DB">
        <w:rPr>
          <w:rFonts w:asciiTheme="majorHAnsi" w:hAnsiTheme="majorHAnsi"/>
          <w:sz w:val="24"/>
          <w:szCs w:val="24"/>
        </w:rPr>
        <w:t>uch of th</w:t>
      </w:r>
      <w:r w:rsidR="00C45DE2">
        <w:rPr>
          <w:rFonts w:asciiTheme="majorHAnsi" w:hAnsiTheme="majorHAnsi"/>
          <w:sz w:val="24"/>
          <w:szCs w:val="24"/>
        </w:rPr>
        <w:t>is curriculum</w:t>
      </w:r>
      <w:r w:rsidR="00C45DE2" w:rsidRPr="003F03DB">
        <w:rPr>
          <w:rFonts w:asciiTheme="majorHAnsi" w:hAnsiTheme="majorHAnsi"/>
          <w:sz w:val="24"/>
          <w:szCs w:val="24"/>
        </w:rPr>
        <w:t xml:space="preserve"> </w:t>
      </w:r>
      <w:r w:rsidR="00C45DE2">
        <w:rPr>
          <w:rFonts w:asciiTheme="majorHAnsi" w:hAnsiTheme="majorHAnsi"/>
          <w:sz w:val="24"/>
          <w:szCs w:val="24"/>
        </w:rPr>
        <w:t>is</w:t>
      </w:r>
      <w:r w:rsidR="00C45DE2" w:rsidRPr="003F03DB">
        <w:rPr>
          <w:rFonts w:asciiTheme="majorHAnsi" w:hAnsiTheme="majorHAnsi"/>
          <w:sz w:val="24"/>
          <w:szCs w:val="24"/>
        </w:rPr>
        <w:t xml:space="preserve"> (and should) be geared toward orienting officers toward multinational, coalition, and Alliance policies, procedures, and practices at the operational</w:t>
      </w:r>
      <w:r w:rsidR="00BA2F42">
        <w:rPr>
          <w:rFonts w:asciiTheme="majorHAnsi" w:hAnsiTheme="majorHAnsi"/>
          <w:sz w:val="24"/>
          <w:szCs w:val="24"/>
        </w:rPr>
        <w:t xml:space="preserve"> level</w:t>
      </w:r>
      <w:r w:rsidR="00C45DE2" w:rsidRPr="003F03DB">
        <w:rPr>
          <w:rFonts w:asciiTheme="majorHAnsi" w:hAnsiTheme="majorHAnsi"/>
          <w:sz w:val="24"/>
          <w:szCs w:val="24"/>
        </w:rPr>
        <w:t>.</w:t>
      </w:r>
      <w:r w:rsidR="00C45DE2">
        <w:rPr>
          <w:rFonts w:asciiTheme="majorHAnsi" w:hAnsiTheme="majorHAnsi"/>
          <w:sz w:val="24"/>
          <w:szCs w:val="24"/>
        </w:rPr>
        <w:t xml:space="preserve"> </w:t>
      </w:r>
      <w:r w:rsidR="00870B6A">
        <w:rPr>
          <w:rFonts w:asciiTheme="majorHAnsi" w:hAnsiTheme="majorHAnsi"/>
          <w:sz w:val="24"/>
          <w:szCs w:val="24"/>
        </w:rPr>
        <w:t>Active learning through</w:t>
      </w:r>
      <w:r>
        <w:rPr>
          <w:rFonts w:asciiTheme="majorHAnsi" w:hAnsiTheme="majorHAnsi"/>
          <w:sz w:val="24"/>
          <w:szCs w:val="24"/>
        </w:rPr>
        <w:t xml:space="preserve"> seminars </w:t>
      </w:r>
      <w:r w:rsidR="00870B6A">
        <w:rPr>
          <w:rFonts w:asciiTheme="majorHAnsi" w:hAnsiTheme="majorHAnsi"/>
          <w:sz w:val="24"/>
          <w:szCs w:val="24"/>
        </w:rPr>
        <w:t>fosters a</w:t>
      </w:r>
      <w:r>
        <w:rPr>
          <w:rFonts w:asciiTheme="majorHAnsi" w:hAnsiTheme="majorHAnsi"/>
          <w:sz w:val="24"/>
          <w:szCs w:val="24"/>
        </w:rPr>
        <w:t xml:space="preserve"> mixture of higher and vocational-technical education.  The seminar environment replicates small unit dyn</w:t>
      </w:r>
      <w:r w:rsidR="00870B6A">
        <w:rPr>
          <w:rFonts w:asciiTheme="majorHAnsi" w:hAnsiTheme="majorHAnsi"/>
          <w:sz w:val="24"/>
          <w:szCs w:val="24"/>
        </w:rPr>
        <w:t xml:space="preserve">amics and larger exercises </w:t>
      </w:r>
      <w:r>
        <w:rPr>
          <w:rFonts w:asciiTheme="majorHAnsi" w:hAnsiTheme="majorHAnsi"/>
          <w:sz w:val="24"/>
          <w:szCs w:val="24"/>
        </w:rPr>
        <w:t>emphasize group coordination, management, and leadership</w:t>
      </w:r>
      <w:r w:rsidR="00870B6A">
        <w:rPr>
          <w:rFonts w:asciiTheme="majorHAnsi" w:hAnsiTheme="majorHAnsi"/>
          <w:sz w:val="24"/>
          <w:szCs w:val="24"/>
        </w:rPr>
        <w:t>.</w:t>
      </w:r>
      <w:r>
        <w:rPr>
          <w:rFonts w:asciiTheme="majorHAnsi" w:hAnsiTheme="majorHAnsi"/>
          <w:sz w:val="24"/>
          <w:szCs w:val="24"/>
        </w:rPr>
        <w:t xml:space="preserve"> </w:t>
      </w:r>
      <w:r w:rsidR="00C45DE2">
        <w:rPr>
          <w:rFonts w:asciiTheme="majorHAnsi" w:hAnsiTheme="majorHAnsi"/>
          <w:sz w:val="24"/>
          <w:szCs w:val="24"/>
        </w:rPr>
        <w:t xml:space="preserve">The hybrid curriculum </w:t>
      </w:r>
      <w:r w:rsidR="00C45DE2" w:rsidRPr="003F03DB">
        <w:rPr>
          <w:rFonts w:asciiTheme="majorHAnsi" w:hAnsiTheme="majorHAnsi" w:cstheme="minorHAnsi"/>
          <w:sz w:val="24"/>
          <w:szCs w:val="24"/>
        </w:rPr>
        <w:t>socialize</w:t>
      </w:r>
      <w:r w:rsidR="00C45DE2">
        <w:rPr>
          <w:rFonts w:asciiTheme="majorHAnsi" w:hAnsiTheme="majorHAnsi" w:cstheme="minorHAnsi"/>
          <w:sz w:val="24"/>
          <w:szCs w:val="24"/>
        </w:rPr>
        <w:t>s</w:t>
      </w:r>
      <w:r w:rsidR="00C45DE2" w:rsidRPr="003F03DB">
        <w:rPr>
          <w:rFonts w:asciiTheme="majorHAnsi" w:hAnsiTheme="majorHAnsi" w:cstheme="minorHAnsi"/>
          <w:sz w:val="24"/>
          <w:szCs w:val="24"/>
        </w:rPr>
        <w:t xml:space="preserve"> a cohort of officers and build</w:t>
      </w:r>
      <w:r w:rsidR="00C45DE2">
        <w:rPr>
          <w:rFonts w:asciiTheme="majorHAnsi" w:hAnsiTheme="majorHAnsi" w:cstheme="minorHAnsi"/>
          <w:sz w:val="24"/>
          <w:szCs w:val="24"/>
        </w:rPr>
        <w:t>s</w:t>
      </w:r>
      <w:r w:rsidR="00C45DE2" w:rsidRPr="003F03DB">
        <w:rPr>
          <w:rFonts w:asciiTheme="majorHAnsi" w:hAnsiTheme="majorHAnsi" w:cstheme="minorHAnsi"/>
          <w:sz w:val="24"/>
          <w:szCs w:val="24"/>
        </w:rPr>
        <w:t xml:space="preserve"> their informal connectio</w:t>
      </w:r>
      <w:r w:rsidR="00C45DE2">
        <w:rPr>
          <w:rFonts w:asciiTheme="majorHAnsi" w:hAnsiTheme="majorHAnsi" w:cstheme="minorHAnsi"/>
          <w:sz w:val="24"/>
          <w:szCs w:val="24"/>
        </w:rPr>
        <w:t xml:space="preserve">ns, and </w:t>
      </w:r>
      <w:r w:rsidR="00C45DE2" w:rsidRPr="003F03DB">
        <w:rPr>
          <w:rFonts w:asciiTheme="majorHAnsi" w:hAnsiTheme="majorHAnsi" w:cstheme="minorHAnsi"/>
          <w:sz w:val="24"/>
          <w:szCs w:val="24"/>
        </w:rPr>
        <w:t>can educate them broadly for the second half of their careers</w:t>
      </w:r>
      <w:r w:rsidR="00C45DE2">
        <w:rPr>
          <w:rFonts w:asciiTheme="majorHAnsi" w:hAnsiTheme="majorHAnsi" w:cstheme="minorHAnsi"/>
          <w:sz w:val="24"/>
          <w:szCs w:val="24"/>
        </w:rPr>
        <w:t xml:space="preserve"> where they assume</w:t>
      </w:r>
      <w:r w:rsidR="00C45DE2">
        <w:rPr>
          <w:rFonts w:asciiTheme="majorHAnsi" w:hAnsiTheme="majorHAnsi"/>
          <w:sz w:val="24"/>
          <w:szCs w:val="24"/>
        </w:rPr>
        <w:t xml:space="preserve"> management roles in military organizations numbering in the hundreds or thousands.</w:t>
      </w:r>
      <w:r w:rsidR="00BA2F42">
        <w:rPr>
          <w:rFonts w:asciiTheme="majorHAnsi" w:hAnsiTheme="majorHAnsi"/>
          <w:sz w:val="24"/>
          <w:szCs w:val="24"/>
        </w:rPr>
        <w:t xml:space="preserve">  Given that most European nations cannot operate alone, much can be achieved in a multinational environment.</w:t>
      </w:r>
    </w:p>
    <w:p w14:paraId="27486F7C" w14:textId="77777777" w:rsidR="00932216" w:rsidRPr="005D72D2" w:rsidRDefault="00932216" w:rsidP="00870B6A">
      <w:pPr>
        <w:spacing w:after="0" w:line="240" w:lineRule="auto"/>
        <w:contextualSpacing/>
        <w:jc w:val="both"/>
        <w:rPr>
          <w:rFonts w:ascii="Cambria" w:hAnsi="Cambria"/>
          <w:sz w:val="24"/>
          <w:szCs w:val="24"/>
        </w:rPr>
      </w:pPr>
    </w:p>
    <w:p w14:paraId="20E9B034" w14:textId="77777777" w:rsidR="005D72D2" w:rsidRPr="005D72D2" w:rsidRDefault="00A87DFE" w:rsidP="00870B6A">
      <w:pPr>
        <w:spacing w:after="0" w:line="240" w:lineRule="auto"/>
        <w:contextualSpacing/>
        <w:jc w:val="both"/>
        <w:rPr>
          <w:rFonts w:ascii="Cambria" w:eastAsia="Times New Roman" w:hAnsi="Cambria"/>
          <w:sz w:val="24"/>
          <w:szCs w:val="24"/>
        </w:rPr>
      </w:pPr>
      <w:r>
        <w:rPr>
          <w:rFonts w:ascii="Cambria" w:hAnsi="Cambria"/>
          <w:sz w:val="24"/>
          <w:szCs w:val="24"/>
        </w:rPr>
        <w:t>T</w:t>
      </w:r>
      <w:r w:rsidR="00235AB5" w:rsidRPr="005D72D2">
        <w:rPr>
          <w:rFonts w:ascii="Cambria" w:hAnsi="Cambria"/>
          <w:sz w:val="24"/>
          <w:szCs w:val="24"/>
        </w:rPr>
        <w:t>he war college level</w:t>
      </w:r>
      <w:r>
        <w:rPr>
          <w:rFonts w:ascii="Cambria" w:hAnsi="Cambria"/>
          <w:sz w:val="24"/>
          <w:szCs w:val="24"/>
        </w:rPr>
        <w:t xml:space="preserve"> expands</w:t>
      </w:r>
      <w:r w:rsidR="00235AB5" w:rsidRPr="005D72D2">
        <w:rPr>
          <w:rFonts w:ascii="Cambria" w:hAnsi="Cambria"/>
          <w:sz w:val="24"/>
          <w:szCs w:val="24"/>
        </w:rPr>
        <w:t xml:space="preserve"> military science to the “strategic level” of national policy.  It </w:t>
      </w:r>
      <w:r w:rsidR="005D72D2" w:rsidRPr="005D72D2">
        <w:rPr>
          <w:rFonts w:ascii="Cambria" w:hAnsi="Cambria"/>
          <w:sz w:val="24"/>
          <w:szCs w:val="24"/>
        </w:rPr>
        <w:t xml:space="preserve">aims to produce senior military (and </w:t>
      </w:r>
      <w:r>
        <w:rPr>
          <w:rFonts w:ascii="Cambria" w:hAnsi="Cambria"/>
          <w:sz w:val="24"/>
          <w:szCs w:val="24"/>
        </w:rPr>
        <w:t xml:space="preserve">some </w:t>
      </w:r>
      <w:r w:rsidR="005D72D2" w:rsidRPr="005D72D2">
        <w:rPr>
          <w:rFonts w:ascii="Cambria" w:hAnsi="Cambria"/>
          <w:sz w:val="24"/>
          <w:szCs w:val="24"/>
        </w:rPr>
        <w:t>civilian) leaders who are</w:t>
      </w:r>
      <w:r w:rsidR="005D72D2" w:rsidRPr="005D72D2">
        <w:rPr>
          <w:rFonts w:ascii="Cambria" w:eastAsia="Times New Roman" w:hAnsi="Cambria"/>
          <w:color w:val="1F1F1F"/>
          <w:sz w:val="24"/>
          <w:szCs w:val="24"/>
          <w:shd w:val="clear" w:color="auto" w:fill="FFFFFF"/>
        </w:rPr>
        <w:t xml:space="preserve"> </w:t>
      </w:r>
      <w:r w:rsidR="005D72D2">
        <w:rPr>
          <w:rFonts w:ascii="Cambria" w:eastAsia="Times New Roman" w:hAnsi="Cambria"/>
          <w:color w:val="1F1F1F"/>
          <w:sz w:val="24"/>
          <w:szCs w:val="24"/>
          <w:shd w:val="clear" w:color="auto" w:fill="FFFFFF"/>
        </w:rPr>
        <w:t>“</w:t>
      </w:r>
      <w:r w:rsidR="005D72D2" w:rsidRPr="005D72D2">
        <w:rPr>
          <w:rFonts w:ascii="Cambria" w:eastAsia="Times New Roman" w:hAnsi="Cambria"/>
          <w:color w:val="1F1F1F"/>
          <w:sz w:val="24"/>
          <w:szCs w:val="24"/>
          <w:shd w:val="clear" w:color="auto" w:fill="FFFFFF"/>
        </w:rPr>
        <w:t>nimble-minded, creative, and knowledgeable experts in service, joint, and national security affairs</w:t>
      </w:r>
      <w:r w:rsidR="005D72D2">
        <w:rPr>
          <w:rFonts w:ascii="Cambria" w:eastAsia="Times New Roman" w:hAnsi="Cambria"/>
          <w:color w:val="1F1F1F"/>
          <w:sz w:val="24"/>
          <w:szCs w:val="24"/>
          <w:shd w:val="clear" w:color="auto" w:fill="FFFFFF"/>
        </w:rPr>
        <w:t xml:space="preserve">” </w:t>
      </w:r>
      <w:r>
        <w:rPr>
          <w:rFonts w:ascii="Cambria" w:eastAsia="Times New Roman" w:hAnsi="Cambria"/>
          <w:color w:val="1F1F1F"/>
          <w:sz w:val="24"/>
          <w:szCs w:val="24"/>
          <w:shd w:val="clear" w:color="auto" w:fill="FFFFFF"/>
        </w:rPr>
        <w:t>that</w:t>
      </w:r>
      <w:r w:rsidR="005D72D2">
        <w:rPr>
          <w:rFonts w:ascii="Cambria" w:eastAsia="Times New Roman" w:hAnsi="Cambria"/>
          <w:color w:val="1F1F1F"/>
          <w:sz w:val="24"/>
          <w:szCs w:val="24"/>
          <w:shd w:val="clear" w:color="auto" w:fill="FFFFFF"/>
        </w:rPr>
        <w:t xml:space="preserve"> are able to </w:t>
      </w:r>
      <w:r>
        <w:rPr>
          <w:rFonts w:ascii="Cambria" w:eastAsia="Times New Roman" w:hAnsi="Cambria"/>
          <w:color w:val="1F1F1F"/>
          <w:sz w:val="24"/>
          <w:szCs w:val="24"/>
          <w:shd w:val="clear" w:color="auto" w:fill="FFFFFF"/>
        </w:rPr>
        <w:t>“</w:t>
      </w:r>
      <w:r w:rsidR="005D72D2">
        <w:rPr>
          <w:rFonts w:ascii="Cambria" w:eastAsia="Times New Roman" w:hAnsi="Cambria"/>
          <w:color w:val="1F1F1F"/>
          <w:sz w:val="24"/>
          <w:szCs w:val="24"/>
          <w:shd w:val="clear" w:color="auto" w:fill="FFFFFF"/>
        </w:rPr>
        <w:t>effectively bridge the gap between virtuosity in operations and the achievement of policy objectives.”</w:t>
      </w:r>
      <w:r w:rsidR="005D72D2">
        <w:rPr>
          <w:rStyle w:val="FootnoteReference"/>
          <w:rFonts w:ascii="Cambria" w:eastAsia="Times New Roman" w:hAnsi="Cambria"/>
          <w:color w:val="1F1F1F"/>
          <w:sz w:val="24"/>
          <w:szCs w:val="24"/>
          <w:shd w:val="clear" w:color="auto" w:fill="FFFFFF"/>
        </w:rPr>
        <w:footnoteReference w:id="15"/>
      </w:r>
      <w:r w:rsidR="004D4FAF">
        <w:rPr>
          <w:rFonts w:ascii="Cambria" w:eastAsia="Times New Roman" w:hAnsi="Cambria"/>
          <w:color w:val="1F1F1F"/>
          <w:sz w:val="24"/>
          <w:szCs w:val="24"/>
          <w:shd w:val="clear" w:color="auto" w:fill="FFFFFF"/>
        </w:rPr>
        <w:t xml:space="preserve">  International considerations loom large in the curriculum</w:t>
      </w:r>
      <w:r w:rsidR="00870B6A">
        <w:rPr>
          <w:rFonts w:ascii="Cambria" w:eastAsia="Times New Roman" w:hAnsi="Cambria"/>
          <w:color w:val="1F1F1F"/>
          <w:sz w:val="24"/>
          <w:szCs w:val="24"/>
          <w:shd w:val="clear" w:color="auto" w:fill="FFFFFF"/>
        </w:rPr>
        <w:t xml:space="preserve"> and the ability to develop arguments, analyze complex policy issues, and communicate effectively orally and in writing are essential to this level of education.</w:t>
      </w:r>
      <w:r w:rsidR="00BA2F42">
        <w:rPr>
          <w:rFonts w:ascii="Cambria" w:eastAsia="Times New Roman" w:hAnsi="Cambria"/>
          <w:color w:val="1F1F1F"/>
          <w:sz w:val="24"/>
          <w:szCs w:val="24"/>
          <w:shd w:val="clear" w:color="auto" w:fill="FFFFFF"/>
        </w:rPr>
        <w:t xml:space="preserve">  Multinational cooperation at this level also has much to commend it, particularly a</w:t>
      </w:r>
      <w:r w:rsidR="00851E84">
        <w:rPr>
          <w:rFonts w:ascii="Cambria" w:eastAsia="Times New Roman" w:hAnsi="Cambria"/>
          <w:color w:val="1F1F1F"/>
          <w:sz w:val="24"/>
          <w:szCs w:val="24"/>
          <w:shd w:val="clear" w:color="auto" w:fill="FFFFFF"/>
        </w:rPr>
        <w:t>s there are a limited number of</w:t>
      </w:r>
      <w:r w:rsidR="00BA2F42">
        <w:rPr>
          <w:rFonts w:ascii="Cambria" w:eastAsia="Times New Roman" w:hAnsi="Cambria"/>
          <w:color w:val="1F1F1F"/>
          <w:sz w:val="24"/>
          <w:szCs w:val="24"/>
          <w:shd w:val="clear" w:color="auto" w:fill="FFFFFF"/>
        </w:rPr>
        <w:t xml:space="preserve"> senior-level programs in Europe.</w:t>
      </w:r>
    </w:p>
    <w:p w14:paraId="401991A8" w14:textId="77777777" w:rsidR="00235AB5" w:rsidRDefault="00235AB5" w:rsidP="00870B6A">
      <w:pPr>
        <w:spacing w:after="0" w:line="240" w:lineRule="auto"/>
        <w:contextualSpacing/>
        <w:jc w:val="both"/>
        <w:rPr>
          <w:rFonts w:ascii="Cambria" w:hAnsi="Cambria"/>
          <w:sz w:val="24"/>
          <w:szCs w:val="24"/>
        </w:rPr>
      </w:pPr>
    </w:p>
    <w:p w14:paraId="2FF5C0E9" w14:textId="77777777" w:rsidR="00DA64C3" w:rsidRPr="005D72D2" w:rsidRDefault="00DA64C3" w:rsidP="00870B6A">
      <w:pPr>
        <w:spacing w:after="0" w:line="240" w:lineRule="auto"/>
        <w:contextualSpacing/>
        <w:jc w:val="both"/>
        <w:rPr>
          <w:rFonts w:ascii="Cambria" w:hAnsi="Cambria"/>
          <w:sz w:val="24"/>
          <w:szCs w:val="24"/>
        </w:rPr>
      </w:pPr>
    </w:p>
    <w:p w14:paraId="01F66D2F" w14:textId="77777777" w:rsidR="00DA64C3" w:rsidRPr="004446C7" w:rsidRDefault="00DA64C3" w:rsidP="00DA64C3">
      <w:pPr>
        <w:spacing w:after="0" w:line="240" w:lineRule="auto"/>
        <w:contextualSpacing/>
        <w:jc w:val="both"/>
        <w:rPr>
          <w:rFonts w:asciiTheme="majorHAnsi" w:hAnsiTheme="majorHAnsi"/>
          <w:b/>
          <w:sz w:val="24"/>
          <w:szCs w:val="24"/>
        </w:rPr>
      </w:pPr>
      <w:r w:rsidRPr="004446C7">
        <w:rPr>
          <w:rFonts w:asciiTheme="majorHAnsi" w:hAnsiTheme="majorHAnsi"/>
          <w:b/>
          <w:sz w:val="24"/>
          <w:szCs w:val="24"/>
        </w:rPr>
        <w:t>Multinational Educational Cooperation</w:t>
      </w:r>
    </w:p>
    <w:p w14:paraId="65C762F0" w14:textId="77777777" w:rsidR="00235AB5" w:rsidRPr="003F03DB" w:rsidRDefault="00235AB5" w:rsidP="00870B6A">
      <w:pPr>
        <w:spacing w:after="0" w:line="240" w:lineRule="auto"/>
        <w:contextualSpacing/>
        <w:jc w:val="both"/>
        <w:rPr>
          <w:rFonts w:asciiTheme="majorHAnsi" w:hAnsiTheme="majorHAnsi"/>
          <w:sz w:val="24"/>
          <w:szCs w:val="24"/>
        </w:rPr>
      </w:pPr>
    </w:p>
    <w:p w14:paraId="2D2B7A3E" w14:textId="77777777" w:rsidR="00F9674E" w:rsidRPr="002316D2" w:rsidRDefault="00266B3F" w:rsidP="00870B6A">
      <w:pPr>
        <w:spacing w:after="0" w:line="240" w:lineRule="auto"/>
        <w:contextualSpacing/>
        <w:jc w:val="both"/>
        <w:rPr>
          <w:rFonts w:asciiTheme="majorHAnsi" w:hAnsiTheme="majorHAnsi" w:cstheme="minorHAnsi"/>
          <w:i/>
          <w:sz w:val="24"/>
          <w:szCs w:val="24"/>
        </w:rPr>
      </w:pPr>
      <w:r>
        <w:rPr>
          <w:rFonts w:asciiTheme="majorHAnsi" w:hAnsiTheme="majorHAnsi" w:cstheme="minorHAnsi"/>
          <w:i/>
          <w:sz w:val="24"/>
          <w:szCs w:val="24"/>
        </w:rPr>
        <w:t>NORDEFCO Cooperation</w:t>
      </w:r>
    </w:p>
    <w:p w14:paraId="77FD59F6" w14:textId="77777777" w:rsidR="00266B3F" w:rsidRPr="00764D0B" w:rsidRDefault="00266B3F"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Nordic cooperation in education and training </w:t>
      </w:r>
      <w:r w:rsidR="00764D0B">
        <w:rPr>
          <w:rFonts w:asciiTheme="majorHAnsi" w:hAnsiTheme="majorHAnsi"/>
          <w:sz w:val="24"/>
          <w:szCs w:val="24"/>
        </w:rPr>
        <w:t>dates back to 1965 when “t</w:t>
      </w:r>
      <w:r w:rsidR="00764D0B" w:rsidRPr="00230EC8">
        <w:rPr>
          <w:rFonts w:asciiTheme="majorHAnsi" w:hAnsiTheme="majorHAnsi"/>
          <w:sz w:val="24"/>
          <w:szCs w:val="24"/>
        </w:rPr>
        <w:t>he Nordics set up a joint UN training program for officers and non-commissioned officers</w:t>
      </w:r>
      <w:r w:rsidR="00764D0B">
        <w:rPr>
          <w:rFonts w:asciiTheme="majorHAnsi" w:hAnsiTheme="majorHAnsi"/>
          <w:sz w:val="24"/>
          <w:szCs w:val="24"/>
        </w:rPr>
        <w:t>…</w:t>
      </w:r>
      <w:r w:rsidR="00764D0B" w:rsidRPr="00230EC8">
        <w:rPr>
          <w:rFonts w:asciiTheme="majorHAnsi" w:hAnsiTheme="majorHAnsi"/>
          <w:sz w:val="24"/>
          <w:szCs w:val="24"/>
        </w:rPr>
        <w:t xml:space="preserve">.  The 1973 </w:t>
      </w:r>
      <w:proofErr w:type="spellStart"/>
      <w:r w:rsidR="00764D0B" w:rsidRPr="00230EC8">
        <w:rPr>
          <w:rFonts w:asciiTheme="majorHAnsi" w:hAnsiTheme="majorHAnsi"/>
          <w:sz w:val="24"/>
          <w:szCs w:val="24"/>
        </w:rPr>
        <w:t>programme</w:t>
      </w:r>
      <w:proofErr w:type="spellEnd"/>
      <w:r w:rsidR="00764D0B" w:rsidRPr="00230EC8">
        <w:rPr>
          <w:rFonts w:asciiTheme="majorHAnsi" w:hAnsiTheme="majorHAnsi"/>
          <w:sz w:val="24"/>
          <w:szCs w:val="24"/>
        </w:rPr>
        <w:t xml:space="preserve"> consisted of UN observer courses hosted by Sweden and Finland, a UN staff course hosted by Sweden, a course for movement control personnel hosted by Norway, a military police course hosted by Denmark and a logistic officers course hosted</w:t>
      </w:r>
      <w:r w:rsidR="00485826">
        <w:rPr>
          <w:rFonts w:asciiTheme="majorHAnsi" w:hAnsiTheme="majorHAnsi"/>
          <w:sz w:val="24"/>
          <w:szCs w:val="24"/>
        </w:rPr>
        <w:t xml:space="preserve"> by Norway.”  Later a Nordic </w:t>
      </w:r>
      <w:r w:rsidR="00764D0B" w:rsidRPr="00230EC8">
        <w:rPr>
          <w:rFonts w:asciiTheme="majorHAnsi" w:hAnsiTheme="majorHAnsi"/>
          <w:sz w:val="24"/>
          <w:szCs w:val="24"/>
        </w:rPr>
        <w:t xml:space="preserve">seminar </w:t>
      </w:r>
      <w:r w:rsidR="00510533">
        <w:rPr>
          <w:rFonts w:asciiTheme="majorHAnsi" w:hAnsiTheme="majorHAnsi"/>
          <w:sz w:val="24"/>
          <w:szCs w:val="24"/>
        </w:rPr>
        <w:t>on</w:t>
      </w:r>
      <w:r w:rsidR="00764D0B" w:rsidRPr="00230EC8">
        <w:rPr>
          <w:rFonts w:asciiTheme="majorHAnsi" w:hAnsiTheme="majorHAnsi"/>
          <w:sz w:val="24"/>
          <w:szCs w:val="24"/>
        </w:rPr>
        <w:t xml:space="preserve"> UN peacekeeping operations for </w:t>
      </w:r>
      <w:r w:rsidR="00510533">
        <w:rPr>
          <w:rFonts w:asciiTheme="majorHAnsi" w:hAnsiTheme="majorHAnsi"/>
          <w:sz w:val="24"/>
          <w:szCs w:val="24"/>
        </w:rPr>
        <w:t>civil servants and field-grade officers was added.</w:t>
      </w:r>
      <w:r w:rsidR="00764D0B" w:rsidRPr="00230EC8">
        <w:rPr>
          <w:rStyle w:val="FootnoteReference"/>
          <w:rFonts w:asciiTheme="majorHAnsi" w:hAnsiTheme="majorHAnsi"/>
          <w:sz w:val="24"/>
          <w:szCs w:val="24"/>
        </w:rPr>
        <w:footnoteReference w:id="16"/>
      </w:r>
      <w:r w:rsidR="00764D0B" w:rsidRPr="00230EC8">
        <w:rPr>
          <w:rFonts w:asciiTheme="majorHAnsi" w:hAnsiTheme="majorHAnsi"/>
          <w:sz w:val="24"/>
          <w:szCs w:val="24"/>
        </w:rPr>
        <w:t xml:space="preserve"> Thes</w:t>
      </w:r>
      <w:r w:rsidR="00764D0B">
        <w:rPr>
          <w:rFonts w:asciiTheme="majorHAnsi" w:hAnsiTheme="majorHAnsi"/>
          <w:sz w:val="24"/>
          <w:szCs w:val="24"/>
        </w:rPr>
        <w:t>e courses grew to 25 in 2003 and</w:t>
      </w:r>
      <w:r w:rsidR="00764D0B" w:rsidRPr="00230EC8">
        <w:rPr>
          <w:rFonts w:asciiTheme="majorHAnsi" w:hAnsiTheme="majorHAnsi"/>
          <w:sz w:val="24"/>
          <w:szCs w:val="24"/>
        </w:rPr>
        <w:t xml:space="preserve"> were attended by 850 students that year.</w:t>
      </w:r>
      <w:r w:rsidR="00764D0B" w:rsidRPr="00230EC8">
        <w:rPr>
          <w:rStyle w:val="FootnoteReference"/>
          <w:rFonts w:asciiTheme="majorHAnsi" w:hAnsiTheme="majorHAnsi"/>
          <w:sz w:val="24"/>
          <w:szCs w:val="24"/>
        </w:rPr>
        <w:footnoteReference w:id="17"/>
      </w:r>
      <w:r w:rsidR="00764D0B">
        <w:rPr>
          <w:rFonts w:asciiTheme="majorHAnsi" w:hAnsiTheme="majorHAnsi"/>
          <w:sz w:val="24"/>
          <w:szCs w:val="24"/>
        </w:rPr>
        <w:t xml:space="preserve">  Currently u</w:t>
      </w:r>
      <w:r>
        <w:rPr>
          <w:rFonts w:asciiTheme="majorHAnsi" w:hAnsiTheme="majorHAnsi"/>
          <w:sz w:val="24"/>
          <w:szCs w:val="24"/>
        </w:rPr>
        <w:t>nder NORDEFCO,</w:t>
      </w:r>
      <w:r w:rsidR="00510533">
        <w:rPr>
          <w:rStyle w:val="FootnoteReference"/>
          <w:rFonts w:asciiTheme="majorHAnsi" w:hAnsiTheme="majorHAnsi"/>
          <w:sz w:val="24"/>
          <w:szCs w:val="24"/>
        </w:rPr>
        <w:footnoteReference w:id="18"/>
      </w:r>
      <w:r>
        <w:rPr>
          <w:rFonts w:asciiTheme="majorHAnsi" w:hAnsiTheme="majorHAnsi"/>
          <w:sz w:val="24"/>
          <w:szCs w:val="24"/>
        </w:rPr>
        <w:t xml:space="preserve"> Denmark offers training courses for military police and in civil-military cooperation (CIMIC). Finland offers training to be a military observer, liaison officer, and military advisor as well as in communications.  Norway offers courses in UN and NATO logistics and support. And Sweden officers a host of courses in civil-military relations, gender issues, international police, generating lessons learned, operational planning, </w:t>
      </w:r>
      <w:r w:rsidR="00510533">
        <w:rPr>
          <w:rFonts w:asciiTheme="majorHAnsi" w:hAnsiTheme="majorHAnsi"/>
          <w:sz w:val="24"/>
          <w:szCs w:val="24"/>
        </w:rPr>
        <w:t xml:space="preserve">and brigade and battalion level </w:t>
      </w:r>
      <w:r>
        <w:rPr>
          <w:rFonts w:asciiTheme="majorHAnsi" w:hAnsiTheme="majorHAnsi"/>
          <w:sz w:val="24"/>
          <w:szCs w:val="24"/>
        </w:rPr>
        <w:t xml:space="preserve">staff officer </w:t>
      </w:r>
      <w:r w:rsidR="00510533">
        <w:rPr>
          <w:rFonts w:asciiTheme="majorHAnsi" w:hAnsiTheme="majorHAnsi"/>
          <w:sz w:val="24"/>
          <w:szCs w:val="24"/>
        </w:rPr>
        <w:t>processes in different types of multinational environments</w:t>
      </w:r>
      <w:r>
        <w:rPr>
          <w:rFonts w:asciiTheme="majorHAnsi" w:hAnsiTheme="majorHAnsi"/>
          <w:sz w:val="24"/>
          <w:szCs w:val="24"/>
        </w:rPr>
        <w:t>.</w:t>
      </w:r>
      <w:r>
        <w:rPr>
          <w:rStyle w:val="FootnoteReference"/>
          <w:rFonts w:asciiTheme="majorHAnsi" w:hAnsiTheme="majorHAnsi"/>
          <w:sz w:val="24"/>
          <w:szCs w:val="24"/>
        </w:rPr>
        <w:footnoteReference w:id="19"/>
      </w:r>
      <w:r>
        <w:rPr>
          <w:rFonts w:asciiTheme="majorHAnsi" w:hAnsiTheme="majorHAnsi"/>
          <w:sz w:val="24"/>
          <w:szCs w:val="24"/>
        </w:rPr>
        <w:t xml:space="preserve">  These courses are taught in English and open to international personnel.  In 2008, “some 900 students” were trained in the various courses, 300 of which were not Nordic.</w:t>
      </w:r>
      <w:r>
        <w:rPr>
          <w:rStyle w:val="FootnoteReference"/>
          <w:rFonts w:asciiTheme="majorHAnsi" w:hAnsiTheme="majorHAnsi"/>
          <w:sz w:val="24"/>
          <w:szCs w:val="24"/>
        </w:rPr>
        <w:footnoteReference w:id="20"/>
      </w:r>
      <w:r>
        <w:rPr>
          <w:rFonts w:asciiTheme="majorHAnsi" w:hAnsiTheme="majorHAnsi"/>
          <w:sz w:val="24"/>
          <w:szCs w:val="24"/>
        </w:rPr>
        <w:t xml:space="preserve"> </w:t>
      </w:r>
    </w:p>
    <w:p w14:paraId="4D713079" w14:textId="77777777" w:rsidR="00266B3F" w:rsidRDefault="00266B3F" w:rsidP="00870B6A">
      <w:pPr>
        <w:spacing w:after="0" w:line="240" w:lineRule="auto"/>
        <w:contextualSpacing/>
        <w:jc w:val="both"/>
        <w:rPr>
          <w:rFonts w:ascii="Cambria" w:hAnsi="Cambria" w:cs="Verdana"/>
          <w:sz w:val="24"/>
          <w:szCs w:val="24"/>
        </w:rPr>
      </w:pPr>
    </w:p>
    <w:p w14:paraId="0A5D6069" w14:textId="77777777" w:rsidR="00A475EF" w:rsidRDefault="00A475EF" w:rsidP="00870B6A">
      <w:pPr>
        <w:spacing w:after="0" w:line="240" w:lineRule="auto"/>
        <w:contextualSpacing/>
        <w:jc w:val="both"/>
        <w:rPr>
          <w:rFonts w:asciiTheme="majorHAnsi" w:hAnsiTheme="majorHAnsi"/>
          <w:sz w:val="24"/>
          <w:szCs w:val="24"/>
        </w:rPr>
      </w:pPr>
      <w:r>
        <w:rPr>
          <w:rFonts w:asciiTheme="majorHAnsi" w:hAnsiTheme="majorHAnsi"/>
          <w:sz w:val="24"/>
          <w:szCs w:val="24"/>
        </w:rPr>
        <w:t>Since</w:t>
      </w:r>
      <w:r w:rsidRPr="00230EC8">
        <w:rPr>
          <w:rFonts w:asciiTheme="majorHAnsi" w:hAnsiTheme="majorHAnsi"/>
          <w:sz w:val="24"/>
          <w:szCs w:val="24"/>
        </w:rPr>
        <w:t xml:space="preserve"> 2009,</w:t>
      </w:r>
      <w:r>
        <w:rPr>
          <w:rFonts w:asciiTheme="majorHAnsi" w:hAnsiTheme="majorHAnsi"/>
          <w:sz w:val="24"/>
          <w:szCs w:val="24"/>
        </w:rPr>
        <w:t xml:space="preserve"> </w:t>
      </w:r>
      <w:r w:rsidRPr="00230EC8">
        <w:rPr>
          <w:rFonts w:asciiTheme="majorHAnsi" w:hAnsiTheme="majorHAnsi"/>
          <w:sz w:val="24"/>
          <w:szCs w:val="24"/>
          <w:shd w:val="clear" w:color="auto" w:fill="FFFFFF"/>
        </w:rPr>
        <w:t>NORDEFCO has focused on developing “com</w:t>
      </w:r>
      <w:r w:rsidR="00510533">
        <w:rPr>
          <w:rFonts w:asciiTheme="majorHAnsi" w:hAnsiTheme="majorHAnsi"/>
          <w:sz w:val="24"/>
          <w:szCs w:val="24"/>
          <w:shd w:val="clear" w:color="auto" w:fill="FFFFFF"/>
        </w:rPr>
        <w:t>mon courses for common purposes</w:t>
      </w:r>
      <w:r w:rsidRPr="00230EC8">
        <w:rPr>
          <w:rFonts w:asciiTheme="majorHAnsi" w:hAnsiTheme="majorHAnsi"/>
          <w:sz w:val="24"/>
          <w:szCs w:val="24"/>
          <w:shd w:val="clear" w:color="auto" w:fill="FFFFFF"/>
        </w:rPr>
        <w:t>”</w:t>
      </w:r>
      <w:r w:rsidR="00510533" w:rsidRPr="00230EC8">
        <w:rPr>
          <w:rStyle w:val="FootnoteReference"/>
          <w:rFonts w:asciiTheme="majorHAnsi" w:hAnsiTheme="majorHAnsi"/>
          <w:sz w:val="24"/>
          <w:szCs w:val="24"/>
          <w:shd w:val="clear" w:color="auto" w:fill="FFFFFF"/>
        </w:rPr>
        <w:footnoteReference w:id="21"/>
      </w:r>
      <w:r w:rsidR="00510533">
        <w:rPr>
          <w:rFonts w:asciiTheme="majorHAnsi" w:hAnsiTheme="majorHAnsi"/>
          <w:sz w:val="24"/>
          <w:szCs w:val="24"/>
          <w:shd w:val="clear" w:color="auto" w:fill="FFFFFF"/>
        </w:rPr>
        <w:t xml:space="preserve"> that supplement specialty training</w:t>
      </w:r>
      <w:r w:rsidR="00EA0EEC">
        <w:rPr>
          <w:rFonts w:asciiTheme="majorHAnsi" w:hAnsiTheme="majorHAnsi"/>
          <w:sz w:val="24"/>
          <w:szCs w:val="24"/>
          <w:shd w:val="clear" w:color="auto" w:fill="FFFFFF"/>
        </w:rPr>
        <w:t>.</w:t>
      </w:r>
      <w:r w:rsidRPr="00230EC8">
        <w:rPr>
          <w:rFonts w:asciiTheme="majorHAnsi" w:hAnsiTheme="majorHAnsi"/>
          <w:sz w:val="24"/>
          <w:szCs w:val="24"/>
          <w:shd w:val="clear" w:color="auto" w:fill="FFFFFF"/>
        </w:rPr>
        <w:t xml:space="preserve">   In 2013, the</w:t>
      </w:r>
      <w:r>
        <w:rPr>
          <w:rFonts w:asciiTheme="majorHAnsi" w:hAnsiTheme="majorHAnsi"/>
          <w:sz w:val="24"/>
          <w:szCs w:val="24"/>
          <w:shd w:val="clear" w:color="auto" w:fill="FFFFFF"/>
        </w:rPr>
        <w:t>y</w:t>
      </w:r>
      <w:r w:rsidRPr="00230EC8">
        <w:rPr>
          <w:rFonts w:asciiTheme="majorHAnsi" w:hAnsiTheme="majorHAnsi"/>
          <w:sz w:val="24"/>
          <w:szCs w:val="24"/>
          <w:shd w:val="clear" w:color="auto" w:fill="FFFFFF"/>
        </w:rPr>
        <w:t xml:space="preserve"> </w:t>
      </w:r>
      <w:r w:rsidR="00EA0EEC">
        <w:rPr>
          <w:rFonts w:asciiTheme="majorHAnsi" w:hAnsiTheme="majorHAnsi"/>
          <w:sz w:val="24"/>
          <w:szCs w:val="24"/>
          <w:shd w:val="clear" w:color="auto" w:fill="FFFFFF"/>
        </w:rPr>
        <w:t>offer</w:t>
      </w:r>
      <w:r w:rsidRPr="00230EC8">
        <w:rPr>
          <w:rFonts w:asciiTheme="majorHAnsi" w:hAnsiTheme="majorHAnsi"/>
          <w:sz w:val="24"/>
          <w:szCs w:val="24"/>
          <w:shd w:val="clear" w:color="auto" w:fill="FFFFFF"/>
        </w:rPr>
        <w:t xml:space="preserve">ed twenty </w:t>
      </w:r>
      <w:proofErr w:type="gramStart"/>
      <w:r w:rsidR="00485826" w:rsidRPr="00230EC8">
        <w:rPr>
          <w:rFonts w:asciiTheme="majorHAnsi" w:hAnsiTheme="majorHAnsi"/>
          <w:sz w:val="24"/>
          <w:szCs w:val="24"/>
          <w:shd w:val="clear" w:color="auto" w:fill="FFFFFF"/>
        </w:rPr>
        <w:t>week</w:t>
      </w:r>
      <w:r w:rsidR="00485826">
        <w:rPr>
          <w:rFonts w:asciiTheme="majorHAnsi" w:hAnsiTheme="majorHAnsi"/>
          <w:sz w:val="24"/>
          <w:szCs w:val="24"/>
          <w:shd w:val="clear" w:color="auto" w:fill="FFFFFF"/>
        </w:rPr>
        <w:t>-</w:t>
      </w:r>
      <w:r w:rsidR="00485826" w:rsidRPr="00230EC8">
        <w:rPr>
          <w:rFonts w:asciiTheme="majorHAnsi" w:hAnsiTheme="majorHAnsi"/>
          <w:sz w:val="24"/>
          <w:szCs w:val="24"/>
          <w:shd w:val="clear" w:color="auto" w:fill="FFFFFF"/>
        </w:rPr>
        <w:t>long</w:t>
      </w:r>
      <w:proofErr w:type="gramEnd"/>
      <w:r w:rsidRPr="00230EC8">
        <w:rPr>
          <w:rFonts w:asciiTheme="majorHAnsi" w:hAnsiTheme="majorHAnsi"/>
          <w:sz w:val="24"/>
          <w:szCs w:val="24"/>
          <w:shd w:val="clear" w:color="auto" w:fill="FFFFFF"/>
        </w:rPr>
        <w:t xml:space="preserve"> training courses for personnel deploying to multinational assignments in partner capacity building or low intensity stabilization and training missions under the auspices of NATO’s Partnership for Peace program or the United Nations.</w:t>
      </w:r>
      <w:r w:rsidRPr="00230EC8">
        <w:rPr>
          <w:rStyle w:val="FootnoteReference"/>
          <w:rFonts w:asciiTheme="majorHAnsi" w:hAnsiTheme="majorHAnsi"/>
          <w:sz w:val="24"/>
          <w:szCs w:val="24"/>
          <w:shd w:val="clear" w:color="auto" w:fill="FFFFFF"/>
        </w:rPr>
        <w:footnoteReference w:id="22"/>
      </w:r>
      <w:r w:rsidRPr="00230EC8">
        <w:rPr>
          <w:rFonts w:asciiTheme="majorHAnsi" w:hAnsiTheme="majorHAnsi"/>
          <w:sz w:val="24"/>
          <w:szCs w:val="24"/>
          <w:shd w:val="clear" w:color="auto" w:fill="FFFFFF"/>
        </w:rPr>
        <w:t xml:space="preserve"> </w:t>
      </w:r>
      <w:r w:rsidR="00485826">
        <w:rPr>
          <w:rFonts w:asciiTheme="majorHAnsi" w:hAnsiTheme="majorHAnsi"/>
          <w:sz w:val="24"/>
          <w:szCs w:val="24"/>
          <w:shd w:val="clear" w:color="auto" w:fill="FFFFFF"/>
        </w:rPr>
        <w:t>Furthermore, a</w:t>
      </w:r>
      <w:r w:rsidRPr="00230EC8">
        <w:rPr>
          <w:rFonts w:asciiTheme="majorHAnsi" w:hAnsiTheme="majorHAnsi"/>
          <w:sz w:val="24"/>
          <w:szCs w:val="24"/>
          <w:shd w:val="clear" w:color="auto" w:fill="FFFFFF"/>
        </w:rPr>
        <w:t xml:space="preserve"> working group has identified language courses (English, Pashto, and Farsi), technical courses in aircraft maintenance, combat medical courses for special forces personnel, mine counter-measures, and logistics as areas with “good potential for further cooperation” in training and education.</w:t>
      </w:r>
      <w:r w:rsidRPr="00230EC8">
        <w:rPr>
          <w:rStyle w:val="FootnoteReference"/>
          <w:rFonts w:asciiTheme="majorHAnsi" w:hAnsiTheme="majorHAnsi"/>
          <w:sz w:val="24"/>
          <w:szCs w:val="24"/>
          <w:shd w:val="clear" w:color="auto" w:fill="FFFFFF"/>
        </w:rPr>
        <w:footnoteReference w:id="23"/>
      </w:r>
      <w:r w:rsidRPr="00230EC8">
        <w:rPr>
          <w:rFonts w:asciiTheme="majorHAnsi" w:hAnsiTheme="majorHAnsi"/>
          <w:sz w:val="24"/>
          <w:szCs w:val="24"/>
          <w:shd w:val="clear" w:color="auto" w:fill="FFFFFF"/>
        </w:rPr>
        <w:t xml:space="preserve">   </w:t>
      </w:r>
      <w:r w:rsidR="00510533">
        <w:rPr>
          <w:rFonts w:asciiTheme="majorHAnsi" w:hAnsiTheme="majorHAnsi"/>
          <w:sz w:val="24"/>
          <w:szCs w:val="24"/>
          <w:shd w:val="clear" w:color="auto" w:fill="FFFFFF"/>
        </w:rPr>
        <w:t>The working group</w:t>
      </w:r>
      <w:r w:rsidRPr="00230EC8">
        <w:rPr>
          <w:rFonts w:asciiTheme="majorHAnsi" w:hAnsiTheme="majorHAnsi"/>
          <w:sz w:val="24"/>
          <w:szCs w:val="24"/>
          <w:shd w:val="clear" w:color="auto" w:fill="FFFFFF"/>
        </w:rPr>
        <w:t xml:space="preserve"> has even indicated that “common competent </w:t>
      </w:r>
      <w:proofErr w:type="gramStart"/>
      <w:r w:rsidRPr="00230EC8">
        <w:rPr>
          <w:rFonts w:asciiTheme="majorHAnsi" w:hAnsiTheme="majorHAnsi"/>
          <w:sz w:val="24"/>
          <w:szCs w:val="24"/>
          <w:shd w:val="clear" w:color="auto" w:fill="FFFFFF"/>
        </w:rPr>
        <w:t>bod[</w:t>
      </w:r>
      <w:proofErr w:type="spellStart"/>
      <w:proofErr w:type="gramEnd"/>
      <w:r w:rsidRPr="00230EC8">
        <w:rPr>
          <w:rFonts w:asciiTheme="majorHAnsi" w:hAnsiTheme="majorHAnsi"/>
          <w:sz w:val="24"/>
          <w:szCs w:val="24"/>
          <w:shd w:val="clear" w:color="auto" w:fill="FFFFFF"/>
        </w:rPr>
        <w:t>ies</w:t>
      </w:r>
      <w:proofErr w:type="spellEnd"/>
      <w:r w:rsidRPr="00230EC8">
        <w:rPr>
          <w:rFonts w:asciiTheme="majorHAnsi" w:hAnsiTheme="majorHAnsi"/>
          <w:sz w:val="24"/>
          <w:szCs w:val="24"/>
          <w:shd w:val="clear" w:color="auto" w:fill="FFFFFF"/>
        </w:rPr>
        <w:t xml:space="preserve">] for recognition [and] certifying staff” should be pursued to </w:t>
      </w:r>
      <w:r w:rsidR="00510533">
        <w:rPr>
          <w:rFonts w:asciiTheme="majorHAnsi" w:hAnsiTheme="majorHAnsi"/>
          <w:sz w:val="24"/>
          <w:szCs w:val="24"/>
          <w:shd w:val="clear" w:color="auto" w:fill="FFFFFF"/>
        </w:rPr>
        <w:t>ensure quality</w:t>
      </w:r>
      <w:r w:rsidRPr="00230EC8">
        <w:rPr>
          <w:rFonts w:asciiTheme="majorHAnsi" w:hAnsiTheme="majorHAnsi"/>
          <w:sz w:val="24"/>
          <w:szCs w:val="24"/>
          <w:shd w:val="clear" w:color="auto" w:fill="FFFFFF"/>
        </w:rPr>
        <w:t>.</w:t>
      </w:r>
      <w:r w:rsidRPr="00230EC8">
        <w:rPr>
          <w:rStyle w:val="FootnoteReference"/>
          <w:rFonts w:asciiTheme="majorHAnsi" w:hAnsiTheme="majorHAnsi"/>
          <w:sz w:val="24"/>
          <w:szCs w:val="24"/>
          <w:shd w:val="clear" w:color="auto" w:fill="FFFFFF"/>
        </w:rPr>
        <w:footnoteReference w:id="24"/>
      </w:r>
      <w:r w:rsidRPr="00230EC8">
        <w:rPr>
          <w:rFonts w:asciiTheme="majorHAnsi" w:hAnsiTheme="majorHAnsi"/>
          <w:sz w:val="24"/>
          <w:szCs w:val="24"/>
          <w:shd w:val="clear" w:color="auto" w:fill="FFFFFF"/>
        </w:rPr>
        <w:t xml:space="preserve">  </w:t>
      </w:r>
      <w:r w:rsidRPr="00230EC8">
        <w:rPr>
          <w:rFonts w:asciiTheme="majorHAnsi" w:hAnsiTheme="majorHAnsi"/>
          <w:sz w:val="24"/>
          <w:szCs w:val="24"/>
        </w:rPr>
        <w:t>Such language indicates that the countries of NORDEFCO can do more and, importantly, desire to do more to cooperate</w:t>
      </w:r>
      <w:r>
        <w:rPr>
          <w:rFonts w:asciiTheme="majorHAnsi" w:hAnsiTheme="majorHAnsi"/>
          <w:sz w:val="24"/>
          <w:szCs w:val="24"/>
        </w:rPr>
        <w:t>.</w:t>
      </w:r>
    </w:p>
    <w:p w14:paraId="3B485670" w14:textId="77777777" w:rsidR="00A475EF" w:rsidRDefault="00A475EF" w:rsidP="00870B6A">
      <w:pPr>
        <w:spacing w:after="0" w:line="240" w:lineRule="auto"/>
        <w:contextualSpacing/>
        <w:jc w:val="both"/>
        <w:rPr>
          <w:rFonts w:ascii="Cambria" w:hAnsi="Cambria" w:cs="Verdana"/>
          <w:sz w:val="24"/>
          <w:szCs w:val="24"/>
        </w:rPr>
      </w:pPr>
    </w:p>
    <w:p w14:paraId="6128ECAA" w14:textId="63ED6B02" w:rsidR="007643E1" w:rsidRPr="00A61DE5" w:rsidRDefault="00A475EF" w:rsidP="00870B6A">
      <w:pPr>
        <w:spacing w:after="0" w:line="240" w:lineRule="auto"/>
        <w:contextualSpacing/>
        <w:jc w:val="both"/>
        <w:rPr>
          <w:rFonts w:ascii="Cambria" w:hAnsi="Cambria"/>
          <w:sz w:val="24"/>
          <w:szCs w:val="24"/>
        </w:rPr>
      </w:pPr>
      <w:r>
        <w:rPr>
          <w:rFonts w:ascii="Cambria" w:hAnsi="Cambria" w:cs="Verdana"/>
          <w:sz w:val="24"/>
          <w:szCs w:val="24"/>
        </w:rPr>
        <w:t>The Nordic states are therefore considering</w:t>
      </w:r>
      <w:r w:rsidR="00764D0B">
        <w:rPr>
          <w:rFonts w:ascii="Cambria" w:hAnsi="Cambria" w:cs="Verdana"/>
          <w:sz w:val="24"/>
          <w:szCs w:val="24"/>
        </w:rPr>
        <w:t xml:space="preserve"> cooperation at higher levels, </w:t>
      </w:r>
      <w:r>
        <w:rPr>
          <w:rFonts w:ascii="Cambria" w:hAnsi="Cambria" w:cs="Verdana"/>
          <w:sz w:val="24"/>
          <w:szCs w:val="24"/>
        </w:rPr>
        <w:t>moving beyond</w:t>
      </w:r>
      <w:r w:rsidR="00764D0B">
        <w:rPr>
          <w:rFonts w:ascii="Cambria" w:hAnsi="Cambria" w:cs="Verdana"/>
          <w:sz w:val="24"/>
          <w:szCs w:val="24"/>
        </w:rPr>
        <w:t xml:space="preserve"> </w:t>
      </w:r>
      <w:r w:rsidR="00A61DE5">
        <w:rPr>
          <w:rFonts w:ascii="Cambria" w:hAnsi="Cambria" w:cs="Verdana"/>
          <w:sz w:val="24"/>
          <w:szCs w:val="24"/>
        </w:rPr>
        <w:t xml:space="preserve">admitting a small percentage of foreign officers to attend </w:t>
      </w:r>
      <w:r w:rsidR="00764D0B">
        <w:rPr>
          <w:rFonts w:ascii="Cambria" w:hAnsi="Cambria" w:cs="Verdana"/>
          <w:sz w:val="24"/>
          <w:szCs w:val="24"/>
        </w:rPr>
        <w:t>the</w:t>
      </w:r>
      <w:r w:rsidR="00485826">
        <w:rPr>
          <w:rFonts w:ascii="Cambria" w:hAnsi="Cambria" w:cs="Verdana"/>
          <w:sz w:val="24"/>
          <w:szCs w:val="24"/>
        </w:rPr>
        <w:t>ir</w:t>
      </w:r>
      <w:r w:rsidR="00764D0B">
        <w:rPr>
          <w:rFonts w:ascii="Cambria" w:hAnsi="Cambria" w:cs="Verdana"/>
          <w:sz w:val="24"/>
          <w:szCs w:val="24"/>
        </w:rPr>
        <w:t xml:space="preserve"> command and staff course</w:t>
      </w:r>
      <w:r>
        <w:rPr>
          <w:rFonts w:ascii="Cambria" w:hAnsi="Cambria" w:cs="Verdana"/>
          <w:sz w:val="24"/>
          <w:szCs w:val="24"/>
        </w:rPr>
        <w:t>s</w:t>
      </w:r>
      <w:r w:rsidR="00764D0B">
        <w:rPr>
          <w:rFonts w:ascii="Cambria" w:hAnsi="Cambria" w:cs="Verdana"/>
          <w:sz w:val="24"/>
          <w:szCs w:val="24"/>
        </w:rPr>
        <w:t>.</w:t>
      </w:r>
      <w:r w:rsidR="00A61DE5">
        <w:rPr>
          <w:rStyle w:val="FootnoteReference"/>
          <w:rFonts w:ascii="Cambria" w:hAnsi="Cambria"/>
          <w:sz w:val="24"/>
          <w:szCs w:val="24"/>
        </w:rPr>
        <w:footnoteReference w:id="25"/>
      </w:r>
      <w:r>
        <w:rPr>
          <w:rFonts w:ascii="Cambria" w:hAnsi="Cambria" w:cs="Verdana"/>
          <w:sz w:val="24"/>
          <w:szCs w:val="24"/>
        </w:rPr>
        <w:t xml:space="preserve">  But cooperation at this level</w:t>
      </w:r>
      <w:r w:rsidR="00A61DE5">
        <w:rPr>
          <w:rFonts w:ascii="Cambria" w:hAnsi="Cambria" w:cs="Verdana"/>
          <w:sz w:val="24"/>
          <w:szCs w:val="24"/>
        </w:rPr>
        <w:t xml:space="preserve"> </w:t>
      </w:r>
      <w:r>
        <w:rPr>
          <w:rFonts w:ascii="Cambria" w:hAnsi="Cambria" w:cs="Verdana"/>
          <w:sz w:val="24"/>
          <w:szCs w:val="24"/>
        </w:rPr>
        <w:t>is much harder</w:t>
      </w:r>
      <w:r w:rsidR="00EA0EEC">
        <w:rPr>
          <w:rFonts w:ascii="Cambria" w:hAnsi="Cambria" w:cs="Verdana"/>
          <w:sz w:val="24"/>
          <w:szCs w:val="24"/>
        </w:rPr>
        <w:t xml:space="preserve"> for many reasons</w:t>
      </w:r>
      <w:r>
        <w:rPr>
          <w:rFonts w:ascii="Cambria" w:hAnsi="Cambria" w:cs="Verdana"/>
          <w:sz w:val="24"/>
          <w:szCs w:val="24"/>
        </w:rPr>
        <w:t>.</w:t>
      </w:r>
      <w:r w:rsidR="00A61DE5">
        <w:rPr>
          <w:rFonts w:ascii="Cambria" w:hAnsi="Cambria" w:cs="Verdana"/>
          <w:sz w:val="24"/>
          <w:szCs w:val="24"/>
        </w:rPr>
        <w:t xml:space="preserve"> </w:t>
      </w:r>
      <w:r w:rsidR="00EA4198" w:rsidRPr="000D431C">
        <w:rPr>
          <w:rFonts w:ascii="Cambria" w:hAnsi="Cambria"/>
          <w:sz w:val="24"/>
          <w:szCs w:val="24"/>
        </w:rPr>
        <w:t xml:space="preserve">The courses </w:t>
      </w:r>
      <w:r w:rsidR="00EA4198">
        <w:rPr>
          <w:rFonts w:ascii="Cambria" w:hAnsi="Cambria"/>
          <w:sz w:val="24"/>
          <w:szCs w:val="24"/>
        </w:rPr>
        <w:t xml:space="preserve">are long and vary in length: 11 months in Denmark, </w:t>
      </w:r>
      <w:r w:rsidR="00EA4198" w:rsidRPr="000D431C">
        <w:rPr>
          <w:rFonts w:ascii="Cambria" w:hAnsi="Cambria"/>
          <w:sz w:val="24"/>
          <w:szCs w:val="24"/>
        </w:rPr>
        <w:t xml:space="preserve">1 and 2 year programs in Norway, </w:t>
      </w:r>
      <w:r w:rsidR="00EA4198">
        <w:rPr>
          <w:rFonts w:ascii="Cambria" w:hAnsi="Cambria"/>
          <w:sz w:val="24"/>
          <w:szCs w:val="24"/>
        </w:rPr>
        <w:t>and</w:t>
      </w:r>
      <w:r w:rsidR="00EA4198" w:rsidRPr="000D431C">
        <w:rPr>
          <w:rFonts w:ascii="Cambria" w:hAnsi="Cambria"/>
          <w:sz w:val="24"/>
          <w:szCs w:val="24"/>
        </w:rPr>
        <w:t xml:space="preserve"> 2 year</w:t>
      </w:r>
      <w:r w:rsidR="00EA4198">
        <w:rPr>
          <w:rFonts w:ascii="Cambria" w:hAnsi="Cambria"/>
          <w:sz w:val="24"/>
          <w:szCs w:val="24"/>
        </w:rPr>
        <w:t xml:space="preserve">s in Sweden and Finland.  Thus attendance in the course by each officer requires a substantial time commitment and cannot be accommodated by a short-term leave from regular duties.  </w:t>
      </w:r>
      <w:r w:rsidR="00485826">
        <w:rPr>
          <w:rFonts w:ascii="Cambria" w:hAnsi="Cambria" w:cs="Verdana"/>
          <w:sz w:val="24"/>
          <w:szCs w:val="24"/>
        </w:rPr>
        <w:t>Furthermore, e</w:t>
      </w:r>
      <w:r w:rsidR="000D431C" w:rsidRPr="000D431C">
        <w:rPr>
          <w:rFonts w:ascii="Cambria" w:hAnsi="Cambria"/>
          <w:sz w:val="24"/>
          <w:szCs w:val="24"/>
        </w:rPr>
        <w:t>ach country teaches their command and staff course in their native tongue</w:t>
      </w:r>
      <w:r w:rsidR="00485826">
        <w:rPr>
          <w:rFonts w:ascii="Cambria" w:hAnsi="Cambria"/>
          <w:sz w:val="24"/>
          <w:szCs w:val="24"/>
        </w:rPr>
        <w:t xml:space="preserve"> and therefore admission is limited to those with requisite language skills</w:t>
      </w:r>
      <w:r w:rsidR="000D431C" w:rsidRPr="000D431C">
        <w:rPr>
          <w:rFonts w:ascii="Cambria" w:hAnsi="Cambria"/>
          <w:sz w:val="24"/>
          <w:szCs w:val="24"/>
        </w:rPr>
        <w:t xml:space="preserve">. </w:t>
      </w:r>
      <w:r w:rsidR="00485826">
        <w:rPr>
          <w:rFonts w:ascii="Cambria" w:hAnsi="Cambria"/>
          <w:sz w:val="24"/>
          <w:szCs w:val="24"/>
        </w:rPr>
        <w:t xml:space="preserve"> </w:t>
      </w:r>
      <w:r w:rsidR="00EA0EEC">
        <w:rPr>
          <w:rFonts w:ascii="Cambria" w:hAnsi="Cambria"/>
          <w:sz w:val="24"/>
          <w:szCs w:val="24"/>
        </w:rPr>
        <w:t>Admiss</w:t>
      </w:r>
      <w:r w:rsidR="000D431C" w:rsidRPr="000D431C">
        <w:rPr>
          <w:rFonts w:ascii="Cambria" w:hAnsi="Cambria"/>
          <w:sz w:val="24"/>
          <w:szCs w:val="24"/>
        </w:rPr>
        <w:t xml:space="preserve">ion criteria </w:t>
      </w:r>
      <w:r w:rsidR="00EA0EEC">
        <w:rPr>
          <w:rFonts w:ascii="Cambria" w:hAnsi="Cambria"/>
          <w:sz w:val="24"/>
          <w:szCs w:val="24"/>
        </w:rPr>
        <w:t xml:space="preserve">range from </w:t>
      </w:r>
      <w:r w:rsidR="000D431C" w:rsidRPr="000D431C">
        <w:rPr>
          <w:rFonts w:ascii="Cambria" w:hAnsi="Cambria"/>
          <w:sz w:val="24"/>
          <w:szCs w:val="24"/>
        </w:rPr>
        <w:t xml:space="preserve">“careful selection” in Sweden, to approval by the </w:t>
      </w:r>
      <w:proofErr w:type="spellStart"/>
      <w:r w:rsidR="000D431C" w:rsidRPr="000D431C">
        <w:rPr>
          <w:rFonts w:ascii="Cambria" w:hAnsi="Cambria"/>
          <w:sz w:val="24"/>
          <w:szCs w:val="24"/>
        </w:rPr>
        <w:t>defence</w:t>
      </w:r>
      <w:proofErr w:type="spellEnd"/>
      <w:r w:rsidR="000D431C" w:rsidRPr="000D431C">
        <w:rPr>
          <w:rFonts w:ascii="Cambria" w:hAnsi="Cambria"/>
          <w:sz w:val="24"/>
          <w:szCs w:val="24"/>
        </w:rPr>
        <w:t xml:space="preserve"> command’s personnel office in Denmark, </w:t>
      </w:r>
      <w:r w:rsidR="00EA0EEC">
        <w:rPr>
          <w:rFonts w:ascii="Cambria" w:hAnsi="Cambria"/>
          <w:sz w:val="24"/>
          <w:szCs w:val="24"/>
        </w:rPr>
        <w:t xml:space="preserve">to </w:t>
      </w:r>
      <w:r w:rsidR="000D431C" w:rsidRPr="000D431C">
        <w:rPr>
          <w:rFonts w:ascii="Cambria" w:hAnsi="Cambria"/>
          <w:sz w:val="24"/>
          <w:szCs w:val="24"/>
        </w:rPr>
        <w:t xml:space="preserve">possession of a baccalaureate degree in Norway, to </w:t>
      </w:r>
      <w:r w:rsidR="00EA0EEC" w:rsidRPr="000D431C">
        <w:rPr>
          <w:rFonts w:ascii="Cambria" w:hAnsi="Cambria"/>
          <w:sz w:val="24"/>
          <w:szCs w:val="24"/>
        </w:rPr>
        <w:t>possession of a baccalaureate degree</w:t>
      </w:r>
      <w:r w:rsidR="00EA0EEC">
        <w:rPr>
          <w:rFonts w:ascii="Cambria" w:hAnsi="Cambria"/>
          <w:sz w:val="24"/>
          <w:szCs w:val="24"/>
        </w:rPr>
        <w:t>,</w:t>
      </w:r>
      <w:r w:rsidR="00EA0EEC" w:rsidRPr="000D431C">
        <w:rPr>
          <w:rFonts w:ascii="Cambria" w:hAnsi="Cambria"/>
          <w:sz w:val="24"/>
          <w:szCs w:val="24"/>
        </w:rPr>
        <w:t xml:space="preserve"> </w:t>
      </w:r>
      <w:r w:rsidR="000D431C" w:rsidRPr="000D431C">
        <w:rPr>
          <w:rFonts w:ascii="Cambria" w:hAnsi="Cambria"/>
          <w:sz w:val="24"/>
          <w:szCs w:val="24"/>
        </w:rPr>
        <w:t>passing an entrance exam</w:t>
      </w:r>
      <w:r w:rsidR="00EA0EEC">
        <w:rPr>
          <w:rFonts w:ascii="Cambria" w:hAnsi="Cambria"/>
          <w:sz w:val="24"/>
          <w:szCs w:val="24"/>
        </w:rPr>
        <w:t>,</w:t>
      </w:r>
      <w:r w:rsidR="000D431C" w:rsidRPr="000D431C">
        <w:rPr>
          <w:rFonts w:ascii="Cambria" w:hAnsi="Cambria"/>
          <w:sz w:val="24"/>
          <w:szCs w:val="24"/>
        </w:rPr>
        <w:t xml:space="preserve"> and proficiency in English in Finland.  Graduation </w:t>
      </w:r>
      <w:r w:rsidR="00A61DE5">
        <w:rPr>
          <w:rFonts w:ascii="Cambria" w:hAnsi="Cambria"/>
          <w:sz w:val="24"/>
          <w:szCs w:val="24"/>
        </w:rPr>
        <w:t xml:space="preserve">also means different things for an officer’s career progression.  It </w:t>
      </w:r>
      <w:r w:rsidR="00A61DE5">
        <w:rPr>
          <w:rFonts w:ascii="Cambria" w:hAnsi="Cambria" w:cs="Arial"/>
          <w:sz w:val="24"/>
          <w:szCs w:val="24"/>
        </w:rPr>
        <w:t xml:space="preserve">results in promotion in Finland, </w:t>
      </w:r>
      <w:r w:rsidR="000D431C" w:rsidRPr="000D431C">
        <w:rPr>
          <w:rFonts w:ascii="Cambria" w:hAnsi="Cambria" w:cs="Arial"/>
          <w:sz w:val="24"/>
          <w:szCs w:val="24"/>
        </w:rPr>
        <w:t xml:space="preserve">is a prerequisite for promotion but does not guarantee it in Denmark and Sweden, </w:t>
      </w:r>
      <w:r w:rsidR="00A61DE5">
        <w:rPr>
          <w:rFonts w:ascii="Cambria" w:hAnsi="Cambria" w:cs="Arial"/>
          <w:sz w:val="24"/>
          <w:szCs w:val="24"/>
        </w:rPr>
        <w:t xml:space="preserve">and </w:t>
      </w:r>
      <w:r w:rsidR="000D431C" w:rsidRPr="000D431C">
        <w:rPr>
          <w:rFonts w:ascii="Cambria" w:hAnsi="Cambria" w:cs="Arial"/>
          <w:sz w:val="24"/>
          <w:szCs w:val="24"/>
        </w:rPr>
        <w:t xml:space="preserve">is a prerequisite for “advanced officer training” that is </w:t>
      </w:r>
      <w:r w:rsidR="00EA0EEC">
        <w:rPr>
          <w:rFonts w:ascii="Cambria" w:hAnsi="Cambria" w:cs="Arial"/>
          <w:sz w:val="24"/>
          <w:szCs w:val="24"/>
        </w:rPr>
        <w:t>required</w:t>
      </w:r>
      <w:r w:rsidR="00A61DE5">
        <w:rPr>
          <w:rFonts w:ascii="Cambria" w:hAnsi="Cambria" w:cs="Arial"/>
          <w:sz w:val="24"/>
          <w:szCs w:val="24"/>
        </w:rPr>
        <w:t xml:space="preserve"> for promotion in Norway.</w:t>
      </w:r>
      <w:r w:rsidR="000D431C" w:rsidRPr="000D431C">
        <w:rPr>
          <w:rFonts w:ascii="Cambria" w:hAnsi="Cambria" w:cs="Arial"/>
          <w:sz w:val="24"/>
          <w:szCs w:val="24"/>
        </w:rPr>
        <w:t xml:space="preserve"> </w:t>
      </w:r>
      <w:r w:rsidR="00A61DE5">
        <w:rPr>
          <w:rFonts w:ascii="Cambria" w:hAnsi="Cambria" w:cs="Arial"/>
          <w:sz w:val="24"/>
          <w:szCs w:val="24"/>
        </w:rPr>
        <w:t xml:space="preserve"> </w:t>
      </w:r>
      <w:r w:rsidR="000D431C">
        <w:rPr>
          <w:rFonts w:ascii="Cambria" w:hAnsi="Cambria" w:cs="Arial"/>
          <w:sz w:val="24"/>
          <w:szCs w:val="24"/>
        </w:rPr>
        <w:t xml:space="preserve">Finally, </w:t>
      </w:r>
      <w:r w:rsidR="000D431C">
        <w:rPr>
          <w:rFonts w:ascii="Cambria" w:hAnsi="Cambria"/>
          <w:sz w:val="24"/>
          <w:szCs w:val="24"/>
        </w:rPr>
        <w:t>a</w:t>
      </w:r>
      <w:r w:rsidR="00485826">
        <w:rPr>
          <w:rFonts w:asciiTheme="majorHAnsi" w:hAnsiTheme="majorHAnsi"/>
          <w:sz w:val="24"/>
          <w:szCs w:val="24"/>
        </w:rPr>
        <w:t xml:space="preserve">ccreditation </w:t>
      </w:r>
      <w:r w:rsidR="00932216" w:rsidRPr="000D431C">
        <w:rPr>
          <w:rFonts w:asciiTheme="majorHAnsi" w:hAnsiTheme="majorHAnsi"/>
          <w:sz w:val="24"/>
          <w:szCs w:val="24"/>
        </w:rPr>
        <w:t xml:space="preserve">differs substantially across the Nordic countries. In Denmark, </w:t>
      </w:r>
      <w:r w:rsidR="00932216" w:rsidRPr="000D431C">
        <w:rPr>
          <w:rFonts w:asciiTheme="majorHAnsi" w:hAnsiTheme="majorHAnsi" w:cstheme="minorHAnsi"/>
          <w:sz w:val="24"/>
          <w:szCs w:val="24"/>
        </w:rPr>
        <w:t>“</w:t>
      </w:r>
      <w:r w:rsidR="00932216" w:rsidRPr="000D431C">
        <w:rPr>
          <w:rFonts w:asciiTheme="majorHAnsi" w:hAnsiTheme="majorHAnsi" w:cs="Arial"/>
          <w:sz w:val="24"/>
          <w:szCs w:val="24"/>
        </w:rPr>
        <w:t>certification of the quality of the course is governed by national directives</w:t>
      </w:r>
      <w:r w:rsidR="00FB3D4B" w:rsidRPr="000D431C">
        <w:rPr>
          <w:rFonts w:asciiTheme="majorHAnsi" w:hAnsiTheme="majorHAnsi" w:cs="Arial"/>
          <w:sz w:val="24"/>
          <w:szCs w:val="24"/>
        </w:rPr>
        <w:t xml:space="preserve"> …</w:t>
      </w:r>
      <w:r w:rsidR="00932216" w:rsidRPr="000D431C">
        <w:rPr>
          <w:rFonts w:asciiTheme="majorHAnsi" w:hAnsiTheme="majorHAnsi" w:cs="Arial"/>
          <w:sz w:val="24"/>
          <w:szCs w:val="24"/>
        </w:rPr>
        <w:t xml:space="preserve"> and evaluated through key performance indicators reported to national authorities [e.g., Defence Command]. The equivalency of the course to other courses amongst NATO and/or European PM</w:t>
      </w:r>
      <w:r w:rsidR="00F01DF4">
        <w:rPr>
          <w:rFonts w:asciiTheme="majorHAnsi" w:hAnsiTheme="majorHAnsi" w:cs="Arial"/>
          <w:sz w:val="24"/>
          <w:szCs w:val="24"/>
        </w:rPr>
        <w:t>E institutions is not certified</w:t>
      </w:r>
      <w:r w:rsidR="00932216" w:rsidRPr="000D431C">
        <w:rPr>
          <w:rFonts w:asciiTheme="majorHAnsi" w:hAnsiTheme="majorHAnsi" w:cs="Arial"/>
          <w:sz w:val="24"/>
          <w:szCs w:val="24"/>
        </w:rPr>
        <w:t>”</w:t>
      </w:r>
      <w:r w:rsidR="00932216" w:rsidRPr="000D431C">
        <w:rPr>
          <w:rStyle w:val="FootnoteReference"/>
          <w:rFonts w:asciiTheme="majorHAnsi" w:hAnsiTheme="majorHAnsi"/>
          <w:sz w:val="24"/>
          <w:szCs w:val="24"/>
        </w:rPr>
        <w:footnoteReference w:id="26"/>
      </w:r>
      <w:r w:rsidR="00F01DF4">
        <w:rPr>
          <w:rFonts w:asciiTheme="majorHAnsi" w:hAnsiTheme="majorHAnsi" w:cs="Arial"/>
          <w:sz w:val="24"/>
          <w:szCs w:val="24"/>
        </w:rPr>
        <w:t xml:space="preserve"> and it has yet to comply with the Bologna standards for credits and accreditation.</w:t>
      </w:r>
      <w:r w:rsidR="00F01DF4">
        <w:rPr>
          <w:rStyle w:val="FootnoteReference"/>
          <w:rFonts w:asciiTheme="majorHAnsi" w:hAnsiTheme="majorHAnsi"/>
          <w:sz w:val="24"/>
          <w:szCs w:val="24"/>
        </w:rPr>
        <w:footnoteReference w:id="27"/>
      </w:r>
      <w:r w:rsidR="00932216" w:rsidRPr="000D431C">
        <w:rPr>
          <w:rFonts w:asciiTheme="majorHAnsi" w:hAnsiTheme="majorHAnsi"/>
          <w:sz w:val="24"/>
          <w:szCs w:val="24"/>
        </w:rPr>
        <w:t xml:space="preserve">  In Norway, the </w:t>
      </w:r>
      <w:r w:rsidR="002020D2" w:rsidRPr="000D431C">
        <w:rPr>
          <w:rFonts w:asciiTheme="majorHAnsi" w:hAnsiTheme="majorHAnsi"/>
          <w:sz w:val="24"/>
          <w:szCs w:val="24"/>
        </w:rPr>
        <w:t xml:space="preserve">Ministry of Education accredits the National Defence </w:t>
      </w:r>
      <w:proofErr w:type="gramStart"/>
      <w:r w:rsidR="002020D2" w:rsidRPr="000D431C">
        <w:rPr>
          <w:rFonts w:asciiTheme="majorHAnsi" w:hAnsiTheme="majorHAnsi"/>
          <w:sz w:val="24"/>
          <w:szCs w:val="24"/>
        </w:rPr>
        <w:t>University</w:t>
      </w:r>
      <w:r w:rsidR="00932216" w:rsidRPr="000D431C">
        <w:rPr>
          <w:rFonts w:asciiTheme="majorHAnsi" w:hAnsiTheme="majorHAnsi"/>
          <w:sz w:val="24"/>
          <w:szCs w:val="24"/>
        </w:rPr>
        <w:t>,</w:t>
      </w:r>
      <w:proofErr w:type="gramEnd"/>
      <w:r w:rsidR="00932216" w:rsidRPr="000D431C">
        <w:rPr>
          <w:rFonts w:asciiTheme="majorHAnsi" w:hAnsiTheme="majorHAnsi"/>
          <w:sz w:val="24"/>
          <w:szCs w:val="24"/>
        </w:rPr>
        <w:t xml:space="preserve"> its command and staff course is recognized as meeting </w:t>
      </w:r>
      <w:r w:rsidR="00FB3D4B" w:rsidRPr="000D431C">
        <w:rPr>
          <w:rFonts w:asciiTheme="majorHAnsi" w:hAnsiTheme="majorHAnsi"/>
          <w:sz w:val="24"/>
          <w:szCs w:val="24"/>
        </w:rPr>
        <w:t>civilian university</w:t>
      </w:r>
      <w:r w:rsidR="00932216" w:rsidRPr="000D431C">
        <w:rPr>
          <w:rFonts w:asciiTheme="majorHAnsi" w:hAnsiTheme="majorHAnsi"/>
          <w:sz w:val="24"/>
          <w:szCs w:val="24"/>
        </w:rPr>
        <w:t xml:space="preserve"> standard</w:t>
      </w:r>
      <w:r w:rsidR="00FB3D4B" w:rsidRPr="000D431C">
        <w:rPr>
          <w:rFonts w:asciiTheme="majorHAnsi" w:hAnsiTheme="majorHAnsi"/>
          <w:sz w:val="24"/>
          <w:szCs w:val="24"/>
        </w:rPr>
        <w:t>s</w:t>
      </w:r>
      <w:r w:rsidR="00932216" w:rsidRPr="000D431C">
        <w:rPr>
          <w:rFonts w:asciiTheme="majorHAnsi" w:hAnsiTheme="majorHAnsi"/>
          <w:sz w:val="24"/>
          <w:szCs w:val="24"/>
        </w:rPr>
        <w:t>, and “parts [of the course] are accredited by NATO.”</w:t>
      </w:r>
      <w:r w:rsidR="00932216" w:rsidRPr="000D431C">
        <w:rPr>
          <w:rStyle w:val="FootnoteReference"/>
          <w:rFonts w:asciiTheme="majorHAnsi" w:hAnsiTheme="majorHAnsi"/>
          <w:sz w:val="24"/>
          <w:szCs w:val="24"/>
        </w:rPr>
        <w:footnoteReference w:id="28"/>
      </w:r>
      <w:r w:rsidR="00932216" w:rsidRPr="000D431C">
        <w:rPr>
          <w:rFonts w:asciiTheme="majorHAnsi" w:hAnsiTheme="majorHAnsi"/>
          <w:sz w:val="24"/>
          <w:szCs w:val="24"/>
        </w:rPr>
        <w:t xml:space="preserve">  In Sweden, the </w:t>
      </w:r>
      <w:r w:rsidR="002020D2" w:rsidRPr="000D431C">
        <w:rPr>
          <w:rFonts w:asciiTheme="majorHAnsi" w:hAnsiTheme="majorHAnsi"/>
          <w:sz w:val="24"/>
          <w:szCs w:val="24"/>
        </w:rPr>
        <w:t>Ministry of Education accredits the command and staff course</w:t>
      </w:r>
      <w:r w:rsidR="00C33486">
        <w:rPr>
          <w:rFonts w:asciiTheme="majorHAnsi" w:hAnsiTheme="majorHAnsi"/>
          <w:sz w:val="24"/>
          <w:szCs w:val="24"/>
        </w:rPr>
        <w:t xml:space="preserve"> and graduates receive a </w:t>
      </w:r>
      <w:proofErr w:type="gramStart"/>
      <w:r w:rsidR="00C33486">
        <w:rPr>
          <w:rFonts w:asciiTheme="majorHAnsi" w:hAnsiTheme="majorHAnsi"/>
          <w:sz w:val="24"/>
          <w:szCs w:val="24"/>
        </w:rPr>
        <w:t>masters</w:t>
      </w:r>
      <w:proofErr w:type="gramEnd"/>
      <w:r w:rsidR="00C33486">
        <w:rPr>
          <w:rFonts w:asciiTheme="majorHAnsi" w:hAnsiTheme="majorHAnsi"/>
          <w:sz w:val="24"/>
          <w:szCs w:val="24"/>
        </w:rPr>
        <w:t xml:space="preserve"> degree</w:t>
      </w:r>
      <w:r w:rsidR="00932216" w:rsidRPr="000D431C">
        <w:rPr>
          <w:rFonts w:asciiTheme="majorHAnsi" w:hAnsiTheme="majorHAnsi"/>
          <w:sz w:val="24"/>
          <w:szCs w:val="24"/>
        </w:rPr>
        <w:t>.</w:t>
      </w:r>
      <w:r w:rsidR="00932216" w:rsidRPr="000D431C">
        <w:rPr>
          <w:rStyle w:val="FootnoteReference"/>
          <w:rFonts w:asciiTheme="majorHAnsi" w:hAnsiTheme="majorHAnsi"/>
          <w:sz w:val="24"/>
          <w:szCs w:val="24"/>
        </w:rPr>
        <w:footnoteReference w:id="29"/>
      </w:r>
      <w:r w:rsidR="00932216" w:rsidRPr="000D431C">
        <w:rPr>
          <w:rFonts w:asciiTheme="majorHAnsi" w:hAnsiTheme="majorHAnsi"/>
          <w:sz w:val="24"/>
          <w:szCs w:val="24"/>
        </w:rPr>
        <w:t xml:space="preserve">  Finally, in Finland, the content of the command and staff course is “</w:t>
      </w:r>
      <w:r w:rsidR="00AC3340" w:rsidRPr="000D431C">
        <w:rPr>
          <w:rFonts w:asciiTheme="majorHAnsi" w:hAnsiTheme="majorHAnsi"/>
          <w:sz w:val="24"/>
          <w:szCs w:val="24"/>
        </w:rPr>
        <w:t>determined by the Defence Staff</w:t>
      </w:r>
      <w:r w:rsidR="00485826">
        <w:rPr>
          <w:rFonts w:asciiTheme="majorHAnsi" w:hAnsiTheme="majorHAnsi"/>
          <w:sz w:val="24"/>
          <w:szCs w:val="24"/>
        </w:rPr>
        <w:t>,</w:t>
      </w:r>
      <w:r w:rsidR="00932216" w:rsidRPr="000D431C">
        <w:rPr>
          <w:rFonts w:asciiTheme="majorHAnsi" w:hAnsiTheme="majorHAnsi"/>
          <w:sz w:val="24"/>
          <w:szCs w:val="24"/>
        </w:rPr>
        <w:t xml:space="preserve">” </w:t>
      </w:r>
      <w:r w:rsidR="00AC3340" w:rsidRPr="000D431C">
        <w:rPr>
          <w:rFonts w:asciiTheme="majorHAnsi" w:hAnsiTheme="majorHAnsi"/>
          <w:sz w:val="24"/>
          <w:szCs w:val="24"/>
        </w:rPr>
        <w:t xml:space="preserve">it </w:t>
      </w:r>
      <w:r w:rsidR="00932216" w:rsidRPr="000D431C">
        <w:rPr>
          <w:rFonts w:asciiTheme="majorHAnsi" w:hAnsiTheme="majorHAnsi"/>
          <w:sz w:val="24"/>
          <w:szCs w:val="24"/>
        </w:rPr>
        <w:t>is accredited by the Ministry of Education and Culture</w:t>
      </w:r>
      <w:r w:rsidR="00C33486">
        <w:rPr>
          <w:rFonts w:asciiTheme="majorHAnsi" w:hAnsiTheme="majorHAnsi"/>
          <w:sz w:val="24"/>
          <w:szCs w:val="24"/>
        </w:rPr>
        <w:t xml:space="preserve">, and graduates </w:t>
      </w:r>
      <w:r w:rsidR="00EA0EEC">
        <w:rPr>
          <w:rFonts w:asciiTheme="majorHAnsi" w:hAnsiTheme="majorHAnsi"/>
          <w:sz w:val="24"/>
          <w:szCs w:val="24"/>
        </w:rPr>
        <w:t>receive</w:t>
      </w:r>
      <w:r w:rsidR="00C33486">
        <w:rPr>
          <w:rFonts w:asciiTheme="majorHAnsi" w:hAnsiTheme="majorHAnsi"/>
          <w:sz w:val="24"/>
          <w:szCs w:val="24"/>
        </w:rPr>
        <w:t xml:space="preserve"> a </w:t>
      </w:r>
      <w:proofErr w:type="gramStart"/>
      <w:r w:rsidR="00C33486">
        <w:rPr>
          <w:rFonts w:asciiTheme="majorHAnsi" w:hAnsiTheme="majorHAnsi"/>
          <w:sz w:val="24"/>
          <w:szCs w:val="24"/>
        </w:rPr>
        <w:t>masters</w:t>
      </w:r>
      <w:proofErr w:type="gramEnd"/>
      <w:r w:rsidR="00C33486">
        <w:rPr>
          <w:rFonts w:asciiTheme="majorHAnsi" w:hAnsiTheme="majorHAnsi"/>
          <w:sz w:val="24"/>
          <w:szCs w:val="24"/>
        </w:rPr>
        <w:t xml:space="preserve"> degree</w:t>
      </w:r>
      <w:r w:rsidR="00932216" w:rsidRPr="000D431C">
        <w:rPr>
          <w:rFonts w:asciiTheme="majorHAnsi" w:hAnsiTheme="majorHAnsi"/>
          <w:sz w:val="24"/>
          <w:szCs w:val="24"/>
        </w:rPr>
        <w:t>.</w:t>
      </w:r>
      <w:r w:rsidR="00932216" w:rsidRPr="000D431C">
        <w:rPr>
          <w:rStyle w:val="FootnoteReference"/>
          <w:rFonts w:asciiTheme="majorHAnsi" w:hAnsiTheme="majorHAnsi"/>
          <w:sz w:val="24"/>
          <w:szCs w:val="24"/>
        </w:rPr>
        <w:footnoteReference w:id="30"/>
      </w:r>
      <w:r w:rsidR="00932216" w:rsidRPr="000D431C">
        <w:rPr>
          <w:rFonts w:asciiTheme="majorHAnsi" w:hAnsiTheme="majorHAnsi"/>
          <w:sz w:val="24"/>
          <w:szCs w:val="24"/>
        </w:rPr>
        <w:t xml:space="preserve">  </w:t>
      </w:r>
      <w:r w:rsidR="00485826">
        <w:rPr>
          <w:rFonts w:asciiTheme="majorHAnsi" w:hAnsiTheme="majorHAnsi"/>
          <w:sz w:val="24"/>
          <w:szCs w:val="24"/>
        </w:rPr>
        <w:t>These differences indicate that</w:t>
      </w:r>
      <w:r w:rsidR="00A61DE5">
        <w:rPr>
          <w:rFonts w:asciiTheme="majorHAnsi" w:hAnsiTheme="majorHAnsi"/>
          <w:sz w:val="24"/>
          <w:szCs w:val="24"/>
        </w:rPr>
        <w:t xml:space="preserve"> intermediate PME remains a national affair in the Nordic countries.</w:t>
      </w:r>
      <w:r w:rsidR="00A61DE5">
        <w:rPr>
          <w:rFonts w:ascii="Cambria" w:hAnsi="Cambria"/>
          <w:sz w:val="24"/>
          <w:szCs w:val="24"/>
        </w:rPr>
        <w:t xml:space="preserve">  </w:t>
      </w:r>
      <w:r w:rsidR="006467C1">
        <w:rPr>
          <w:rFonts w:asciiTheme="majorHAnsi" w:hAnsiTheme="majorHAnsi"/>
          <w:sz w:val="24"/>
          <w:szCs w:val="24"/>
        </w:rPr>
        <w:t>How can the</w:t>
      </w:r>
      <w:r w:rsidR="00A61DE5">
        <w:rPr>
          <w:rFonts w:asciiTheme="majorHAnsi" w:hAnsiTheme="majorHAnsi"/>
          <w:sz w:val="24"/>
          <w:szCs w:val="24"/>
        </w:rPr>
        <w:t>y</w:t>
      </w:r>
      <w:r w:rsidR="006467C1">
        <w:rPr>
          <w:rFonts w:asciiTheme="majorHAnsi" w:hAnsiTheme="majorHAnsi"/>
          <w:sz w:val="24"/>
          <w:szCs w:val="24"/>
        </w:rPr>
        <w:t xml:space="preserve"> overcome these substantial barriers?  </w:t>
      </w:r>
      <w:r w:rsidR="00EA0EEC">
        <w:rPr>
          <w:rFonts w:asciiTheme="majorHAnsi" w:hAnsiTheme="majorHAnsi"/>
          <w:sz w:val="24"/>
          <w:szCs w:val="24"/>
        </w:rPr>
        <w:t>The civilian sector offers some ideas.</w:t>
      </w:r>
    </w:p>
    <w:p w14:paraId="7A0C17C3" w14:textId="77777777" w:rsidR="004446C7" w:rsidRDefault="004446C7" w:rsidP="00870B6A">
      <w:pPr>
        <w:spacing w:after="0" w:line="240" w:lineRule="auto"/>
        <w:contextualSpacing/>
        <w:jc w:val="both"/>
        <w:rPr>
          <w:rFonts w:asciiTheme="majorHAnsi" w:hAnsiTheme="majorHAnsi"/>
          <w:sz w:val="24"/>
          <w:szCs w:val="24"/>
        </w:rPr>
      </w:pPr>
    </w:p>
    <w:p w14:paraId="3CF88428" w14:textId="77777777" w:rsidR="007643E1" w:rsidRPr="00A61DE5" w:rsidRDefault="00A61DE5" w:rsidP="00870B6A">
      <w:pPr>
        <w:spacing w:after="0" w:line="240" w:lineRule="auto"/>
        <w:contextualSpacing/>
        <w:jc w:val="both"/>
        <w:rPr>
          <w:rFonts w:asciiTheme="majorHAnsi" w:hAnsiTheme="majorHAnsi"/>
          <w:i/>
          <w:sz w:val="24"/>
          <w:szCs w:val="24"/>
        </w:rPr>
      </w:pPr>
      <w:r w:rsidRPr="00A61DE5">
        <w:rPr>
          <w:rFonts w:asciiTheme="majorHAnsi" w:hAnsiTheme="majorHAnsi"/>
          <w:i/>
          <w:sz w:val="24"/>
          <w:szCs w:val="24"/>
        </w:rPr>
        <w:t>Multinational Cooperation in Civilian Education</w:t>
      </w:r>
    </w:p>
    <w:p w14:paraId="24F2D729" w14:textId="77777777" w:rsidR="006467C1" w:rsidRPr="00276D81" w:rsidRDefault="006467C1" w:rsidP="00870B6A">
      <w:pPr>
        <w:spacing w:after="0" w:line="240" w:lineRule="auto"/>
        <w:contextualSpacing/>
        <w:jc w:val="both"/>
        <w:rPr>
          <w:rFonts w:asciiTheme="majorHAnsi" w:hAnsiTheme="majorHAnsi"/>
          <w:sz w:val="24"/>
          <w:szCs w:val="24"/>
        </w:rPr>
      </w:pPr>
      <w:r>
        <w:rPr>
          <w:rFonts w:asciiTheme="majorHAnsi" w:hAnsiTheme="majorHAnsi"/>
          <w:sz w:val="24"/>
          <w:szCs w:val="24"/>
        </w:rPr>
        <w:t>Fifteen years ago, heterogeneous higher and vocational-technical education systems across Europe presented substantial barriers to capitalizing on the free movement of highly educated and skilled labor within the EU and beyond.  Incompatible degree requirements, course credit systems, accreditation, and quality assurance procedures precluded recognition of educational credentials for students and graduates, stymied competition for each, discouraged international innovation, and hence limited European productivity and competitiveness in an increasingly global marketplace.  Policy makers realized that these barriers to cooperation had to be addressed at a foundational level if they were to be overcome.</w:t>
      </w:r>
    </w:p>
    <w:p w14:paraId="13351790" w14:textId="77777777" w:rsidR="006467C1" w:rsidRDefault="006467C1" w:rsidP="00870B6A">
      <w:pPr>
        <w:spacing w:after="0" w:line="240" w:lineRule="auto"/>
        <w:contextualSpacing/>
        <w:jc w:val="both"/>
        <w:rPr>
          <w:rFonts w:asciiTheme="majorHAnsi" w:hAnsiTheme="majorHAnsi"/>
          <w:sz w:val="24"/>
          <w:szCs w:val="24"/>
        </w:rPr>
      </w:pPr>
    </w:p>
    <w:p w14:paraId="76D5B6B7" w14:textId="77777777" w:rsidR="008E6EB6" w:rsidRPr="00230EC8" w:rsidRDefault="006467C1" w:rsidP="00870B6A">
      <w:pPr>
        <w:spacing w:after="0" w:line="240" w:lineRule="auto"/>
        <w:contextualSpacing/>
        <w:jc w:val="both"/>
        <w:rPr>
          <w:rFonts w:asciiTheme="majorHAnsi" w:hAnsiTheme="majorHAnsi"/>
          <w:color w:val="000000"/>
          <w:sz w:val="24"/>
          <w:szCs w:val="24"/>
        </w:rPr>
      </w:pPr>
      <w:r>
        <w:rPr>
          <w:rFonts w:asciiTheme="majorHAnsi" w:hAnsiTheme="majorHAnsi"/>
          <w:sz w:val="24"/>
          <w:szCs w:val="24"/>
        </w:rPr>
        <w:t>T</w:t>
      </w:r>
      <w:r w:rsidRPr="003F03DB">
        <w:rPr>
          <w:rFonts w:asciiTheme="majorHAnsi" w:hAnsiTheme="majorHAnsi"/>
          <w:sz w:val="24"/>
          <w:szCs w:val="24"/>
        </w:rPr>
        <w:t xml:space="preserve">he Bologna </w:t>
      </w:r>
      <w:r>
        <w:rPr>
          <w:rFonts w:asciiTheme="majorHAnsi" w:hAnsiTheme="majorHAnsi"/>
          <w:sz w:val="24"/>
          <w:szCs w:val="24"/>
        </w:rPr>
        <w:t xml:space="preserve">and Copenhagen </w:t>
      </w:r>
      <w:r w:rsidRPr="003F03DB">
        <w:rPr>
          <w:rFonts w:asciiTheme="majorHAnsi" w:hAnsiTheme="majorHAnsi"/>
          <w:sz w:val="24"/>
          <w:szCs w:val="24"/>
        </w:rPr>
        <w:t>process</w:t>
      </w:r>
      <w:r>
        <w:rPr>
          <w:rFonts w:asciiTheme="majorHAnsi" w:hAnsiTheme="majorHAnsi"/>
          <w:sz w:val="24"/>
          <w:szCs w:val="24"/>
        </w:rPr>
        <w:t>es</w:t>
      </w:r>
      <w:r w:rsidRPr="003F03DB">
        <w:rPr>
          <w:rFonts w:asciiTheme="majorHAnsi" w:hAnsiTheme="majorHAnsi"/>
          <w:sz w:val="24"/>
          <w:szCs w:val="24"/>
        </w:rPr>
        <w:t xml:space="preserve"> in civilian higher </w:t>
      </w:r>
      <w:r>
        <w:rPr>
          <w:rFonts w:asciiTheme="majorHAnsi" w:hAnsiTheme="majorHAnsi"/>
          <w:sz w:val="24"/>
          <w:szCs w:val="24"/>
        </w:rPr>
        <w:t xml:space="preserve">and vocational-technical </w:t>
      </w:r>
      <w:r w:rsidRPr="003F03DB">
        <w:rPr>
          <w:rFonts w:asciiTheme="majorHAnsi" w:hAnsiTheme="majorHAnsi"/>
          <w:sz w:val="24"/>
          <w:szCs w:val="24"/>
        </w:rPr>
        <w:t>education</w:t>
      </w:r>
      <w:r>
        <w:rPr>
          <w:rFonts w:asciiTheme="majorHAnsi" w:hAnsiTheme="majorHAnsi"/>
          <w:sz w:val="24"/>
          <w:szCs w:val="24"/>
        </w:rPr>
        <w:t xml:space="preserve"> were</w:t>
      </w:r>
      <w:r w:rsidRPr="003F03DB">
        <w:rPr>
          <w:rFonts w:asciiTheme="majorHAnsi" w:hAnsiTheme="majorHAnsi"/>
          <w:sz w:val="24"/>
          <w:szCs w:val="24"/>
        </w:rPr>
        <w:t xml:space="preserve"> designed to facilitate a gradual convergence of national higher education systems across Europe.</w:t>
      </w:r>
      <w:r w:rsidR="0090061B">
        <w:rPr>
          <w:rStyle w:val="FootnoteReference"/>
          <w:rFonts w:asciiTheme="majorHAnsi" w:hAnsiTheme="majorHAnsi"/>
          <w:sz w:val="24"/>
          <w:szCs w:val="24"/>
        </w:rPr>
        <w:footnoteReference w:id="31"/>
      </w:r>
      <w:r w:rsidRPr="003F03DB">
        <w:rPr>
          <w:rFonts w:asciiTheme="majorHAnsi" w:hAnsiTheme="majorHAnsi"/>
          <w:sz w:val="24"/>
          <w:szCs w:val="24"/>
        </w:rPr>
        <w:t xml:space="preserve">  </w:t>
      </w:r>
      <w:r>
        <w:rPr>
          <w:rFonts w:asciiTheme="majorHAnsi" w:hAnsiTheme="majorHAnsi"/>
          <w:sz w:val="24"/>
          <w:szCs w:val="24"/>
        </w:rPr>
        <w:t xml:space="preserve">The </w:t>
      </w:r>
      <w:r w:rsidR="004F6C15">
        <w:rPr>
          <w:rFonts w:asciiTheme="majorHAnsi" w:hAnsiTheme="majorHAnsi"/>
          <w:sz w:val="24"/>
          <w:szCs w:val="24"/>
        </w:rPr>
        <w:t>Bologna Process has</w:t>
      </w:r>
      <w:r w:rsidRPr="003F03DB">
        <w:rPr>
          <w:rFonts w:asciiTheme="majorHAnsi" w:hAnsiTheme="majorHAnsi"/>
          <w:sz w:val="24"/>
          <w:szCs w:val="24"/>
        </w:rPr>
        <w:t xml:space="preserve"> encouraged the harmonization of education credit systems</w:t>
      </w:r>
      <w:r w:rsidR="004F6C15">
        <w:rPr>
          <w:rFonts w:asciiTheme="majorHAnsi" w:hAnsiTheme="majorHAnsi"/>
          <w:sz w:val="24"/>
          <w:szCs w:val="24"/>
        </w:rPr>
        <w:t>.  This has enabled s</w:t>
      </w:r>
      <w:r w:rsidR="004F6C15" w:rsidRPr="003F03DB">
        <w:rPr>
          <w:rFonts w:asciiTheme="majorHAnsi" w:hAnsiTheme="majorHAnsi"/>
          <w:sz w:val="24"/>
          <w:szCs w:val="24"/>
        </w:rPr>
        <w:t xml:space="preserve">tandardization of degrees and their requirements across the three levels of higher education—baccalaureate, masters, and doctoral—so as to facilitate recognition of degrees across institutions </w:t>
      </w:r>
      <w:r w:rsidR="004F6C15">
        <w:rPr>
          <w:rFonts w:asciiTheme="majorHAnsi" w:hAnsiTheme="majorHAnsi"/>
          <w:sz w:val="24"/>
          <w:szCs w:val="24"/>
        </w:rPr>
        <w:t xml:space="preserve">and borders.   The Copenhagen Process </w:t>
      </w:r>
      <w:r w:rsidR="00EA0EEC">
        <w:rPr>
          <w:rFonts w:asciiTheme="majorHAnsi" w:hAnsiTheme="majorHAnsi"/>
          <w:sz w:val="24"/>
          <w:szCs w:val="24"/>
        </w:rPr>
        <w:t>is facilitating</w:t>
      </w:r>
      <w:r w:rsidR="00485826">
        <w:rPr>
          <w:rFonts w:asciiTheme="majorHAnsi" w:hAnsiTheme="majorHAnsi"/>
          <w:sz w:val="24"/>
          <w:szCs w:val="24"/>
        </w:rPr>
        <w:t xml:space="preserve"> </w:t>
      </w:r>
      <w:r w:rsidR="00597AB3">
        <w:rPr>
          <w:rFonts w:asciiTheme="majorHAnsi" w:hAnsiTheme="majorHAnsi"/>
          <w:sz w:val="24"/>
          <w:szCs w:val="24"/>
        </w:rPr>
        <w:t>similar harmonization within the vocational-technical system of European education.  Furthermore, that process has drawn upon the Bologna standards so that comparisons can be drawn between these two types of education and mutual recognition of student accomplishments and qualifications can occur within national systems.</w:t>
      </w:r>
      <w:r w:rsidR="00353584">
        <w:rPr>
          <w:rStyle w:val="FootnoteReference"/>
          <w:rFonts w:asciiTheme="majorHAnsi" w:hAnsiTheme="majorHAnsi"/>
          <w:sz w:val="24"/>
          <w:szCs w:val="24"/>
        </w:rPr>
        <w:footnoteReference w:id="32"/>
      </w:r>
      <w:r w:rsidR="00597AB3">
        <w:rPr>
          <w:rFonts w:asciiTheme="majorHAnsi" w:hAnsiTheme="majorHAnsi"/>
          <w:sz w:val="24"/>
          <w:szCs w:val="24"/>
        </w:rPr>
        <w:t xml:space="preserve">  This has pushed states and their educational institutions to develop formalized descriptions of the competencies that ought to be developed within particular courses of study.  These national qualification frameworks are enabling educational </w:t>
      </w:r>
      <w:r w:rsidR="00EA0EEC">
        <w:rPr>
          <w:rFonts w:asciiTheme="majorHAnsi" w:hAnsiTheme="majorHAnsi"/>
          <w:sz w:val="24"/>
          <w:szCs w:val="24"/>
        </w:rPr>
        <w:t xml:space="preserve">systems to </w:t>
      </w:r>
      <w:r w:rsidR="00597AB3">
        <w:rPr>
          <w:rFonts w:asciiTheme="majorHAnsi" w:hAnsiTheme="majorHAnsi"/>
          <w:sz w:val="24"/>
          <w:szCs w:val="24"/>
        </w:rPr>
        <w:t>bas</w:t>
      </w:r>
      <w:r w:rsidR="00EA0EEC">
        <w:rPr>
          <w:rFonts w:asciiTheme="majorHAnsi" w:hAnsiTheme="majorHAnsi"/>
          <w:sz w:val="24"/>
          <w:szCs w:val="24"/>
        </w:rPr>
        <w:t>e</w:t>
      </w:r>
      <w:r w:rsidR="00597AB3" w:rsidRPr="00230EC8">
        <w:rPr>
          <w:rFonts w:asciiTheme="majorHAnsi" w:hAnsiTheme="majorHAnsi"/>
          <w:sz w:val="24"/>
          <w:szCs w:val="24"/>
        </w:rPr>
        <w:t xml:space="preserve"> credit on </w:t>
      </w:r>
      <w:r w:rsidR="00EA0EEC" w:rsidRPr="00230EC8">
        <w:rPr>
          <w:rFonts w:asciiTheme="majorHAnsi" w:hAnsiTheme="majorHAnsi"/>
          <w:sz w:val="24"/>
          <w:szCs w:val="24"/>
        </w:rPr>
        <w:t xml:space="preserve">learning outcomes </w:t>
      </w:r>
      <w:r w:rsidR="00EA0EEC">
        <w:rPr>
          <w:rFonts w:asciiTheme="majorHAnsi" w:hAnsiTheme="majorHAnsi"/>
          <w:sz w:val="24"/>
          <w:szCs w:val="24"/>
        </w:rPr>
        <w:t xml:space="preserve">rather than </w:t>
      </w:r>
      <w:r w:rsidR="00597AB3" w:rsidRPr="00230EC8">
        <w:rPr>
          <w:rFonts w:asciiTheme="majorHAnsi" w:hAnsiTheme="majorHAnsi"/>
          <w:sz w:val="24"/>
          <w:szCs w:val="24"/>
        </w:rPr>
        <w:t>contact hours between students and faculty</w:t>
      </w:r>
      <w:r w:rsidR="008E6EB6">
        <w:rPr>
          <w:rFonts w:asciiTheme="majorHAnsi" w:hAnsiTheme="majorHAnsi"/>
          <w:sz w:val="24"/>
          <w:szCs w:val="24"/>
        </w:rPr>
        <w:t xml:space="preserve"> or</w:t>
      </w:r>
      <w:r w:rsidR="00EA0EEC">
        <w:rPr>
          <w:rFonts w:asciiTheme="majorHAnsi" w:hAnsiTheme="majorHAnsi"/>
          <w:sz w:val="24"/>
          <w:szCs w:val="24"/>
        </w:rPr>
        <w:t xml:space="preserve"> student workload</w:t>
      </w:r>
      <w:r w:rsidR="00597AB3" w:rsidRPr="00230EC8">
        <w:rPr>
          <w:rFonts w:asciiTheme="majorHAnsi" w:hAnsiTheme="majorHAnsi"/>
          <w:sz w:val="24"/>
          <w:szCs w:val="24"/>
        </w:rPr>
        <w:t>.</w:t>
      </w:r>
      <w:r w:rsidR="00353584" w:rsidRPr="00230EC8">
        <w:rPr>
          <w:rStyle w:val="FootnoteReference"/>
          <w:rFonts w:asciiTheme="majorHAnsi" w:hAnsiTheme="majorHAnsi"/>
          <w:color w:val="000000"/>
          <w:sz w:val="24"/>
          <w:szCs w:val="24"/>
        </w:rPr>
        <w:footnoteReference w:id="33"/>
      </w:r>
      <w:r w:rsidR="00597AB3" w:rsidRPr="00230EC8">
        <w:rPr>
          <w:rFonts w:asciiTheme="majorHAnsi" w:hAnsiTheme="majorHAnsi"/>
          <w:sz w:val="24"/>
          <w:szCs w:val="24"/>
        </w:rPr>
        <w:t xml:space="preserve">  </w:t>
      </w:r>
      <w:r w:rsidR="008E6EB6">
        <w:rPr>
          <w:rFonts w:asciiTheme="majorHAnsi" w:hAnsiTheme="majorHAnsi"/>
          <w:color w:val="000000"/>
          <w:sz w:val="24"/>
          <w:szCs w:val="24"/>
        </w:rPr>
        <w:t>This, in turn</w:t>
      </w:r>
      <w:r w:rsidR="00597AB3" w:rsidRPr="00230EC8">
        <w:rPr>
          <w:rFonts w:asciiTheme="majorHAnsi" w:hAnsiTheme="majorHAnsi"/>
          <w:color w:val="000000"/>
          <w:sz w:val="24"/>
          <w:szCs w:val="24"/>
        </w:rPr>
        <w:t xml:space="preserve">, </w:t>
      </w:r>
      <w:r w:rsidR="008E6EB6">
        <w:rPr>
          <w:rFonts w:asciiTheme="majorHAnsi" w:hAnsiTheme="majorHAnsi"/>
          <w:color w:val="000000"/>
          <w:sz w:val="24"/>
          <w:szCs w:val="24"/>
        </w:rPr>
        <w:t xml:space="preserve">enables </w:t>
      </w:r>
      <w:r w:rsidR="00597AB3" w:rsidRPr="00230EC8">
        <w:rPr>
          <w:rFonts w:asciiTheme="majorHAnsi" w:hAnsiTheme="majorHAnsi"/>
          <w:color w:val="000000"/>
          <w:sz w:val="24"/>
          <w:szCs w:val="24"/>
        </w:rPr>
        <w:t>comparability across educations</w:t>
      </w:r>
      <w:r w:rsidR="008E6EB6">
        <w:rPr>
          <w:rFonts w:asciiTheme="majorHAnsi" w:hAnsiTheme="majorHAnsi"/>
          <w:color w:val="000000"/>
          <w:sz w:val="24"/>
          <w:szCs w:val="24"/>
        </w:rPr>
        <w:t>, nationally and internationally</w:t>
      </w:r>
      <w:r w:rsidR="00796BE5">
        <w:rPr>
          <w:rFonts w:asciiTheme="majorHAnsi" w:hAnsiTheme="majorHAnsi"/>
          <w:color w:val="000000"/>
          <w:sz w:val="24"/>
          <w:szCs w:val="24"/>
        </w:rPr>
        <w:t>,</w:t>
      </w:r>
      <w:r w:rsidR="008E6EB6">
        <w:rPr>
          <w:rFonts w:asciiTheme="majorHAnsi" w:hAnsiTheme="majorHAnsi"/>
          <w:color w:val="000000"/>
          <w:sz w:val="24"/>
          <w:szCs w:val="24"/>
        </w:rPr>
        <w:t xml:space="preserve"> through the </w:t>
      </w:r>
      <w:r w:rsidR="00597AB3" w:rsidRPr="00230EC8">
        <w:rPr>
          <w:rFonts w:asciiTheme="majorHAnsi" w:hAnsiTheme="majorHAnsi"/>
          <w:color w:val="000000"/>
          <w:sz w:val="24"/>
          <w:szCs w:val="24"/>
        </w:rPr>
        <w:t xml:space="preserve">European Qualification </w:t>
      </w:r>
      <w:r w:rsidR="008E6EB6">
        <w:rPr>
          <w:rFonts w:asciiTheme="majorHAnsi" w:hAnsiTheme="majorHAnsi"/>
          <w:color w:val="000000"/>
          <w:sz w:val="24"/>
          <w:szCs w:val="24"/>
        </w:rPr>
        <w:t>Frameworks</w:t>
      </w:r>
      <w:r w:rsidR="00597AB3" w:rsidRPr="00230EC8">
        <w:rPr>
          <w:rFonts w:asciiTheme="majorHAnsi" w:hAnsiTheme="majorHAnsi"/>
          <w:color w:val="000000"/>
          <w:sz w:val="24"/>
          <w:szCs w:val="24"/>
        </w:rPr>
        <w:t>.</w:t>
      </w:r>
      <w:r w:rsidR="008E6EB6">
        <w:rPr>
          <w:rFonts w:asciiTheme="majorHAnsi" w:hAnsiTheme="majorHAnsi"/>
          <w:color w:val="000000"/>
          <w:sz w:val="24"/>
          <w:szCs w:val="24"/>
        </w:rPr>
        <w:t xml:space="preserve">  </w:t>
      </w:r>
      <w:r w:rsidR="00A42319">
        <w:rPr>
          <w:rFonts w:asciiTheme="majorHAnsi" w:hAnsiTheme="majorHAnsi"/>
          <w:color w:val="000000"/>
          <w:sz w:val="24"/>
          <w:szCs w:val="24"/>
        </w:rPr>
        <w:t>Finally, t</w:t>
      </w:r>
      <w:r w:rsidR="00C63CC0">
        <w:rPr>
          <w:rFonts w:asciiTheme="majorHAnsi" w:hAnsiTheme="majorHAnsi"/>
          <w:color w:val="000000"/>
          <w:sz w:val="24"/>
          <w:szCs w:val="24"/>
        </w:rPr>
        <w:t>hree layers of quality assurance facilitate harmonization</w:t>
      </w:r>
      <w:r w:rsidR="008E6EB6" w:rsidRPr="00230EC8">
        <w:rPr>
          <w:rFonts w:asciiTheme="majorHAnsi" w:hAnsiTheme="majorHAnsi"/>
          <w:color w:val="000000"/>
          <w:sz w:val="24"/>
          <w:szCs w:val="24"/>
        </w:rPr>
        <w:t xml:space="preserve">: processes inside the institutions themselves, </w:t>
      </w:r>
      <w:r w:rsidR="00796BE5">
        <w:rPr>
          <w:rFonts w:asciiTheme="majorHAnsi" w:hAnsiTheme="majorHAnsi"/>
          <w:color w:val="000000"/>
          <w:sz w:val="24"/>
          <w:szCs w:val="24"/>
        </w:rPr>
        <w:t>at</w:t>
      </w:r>
      <w:r w:rsidR="008E6EB6" w:rsidRPr="00230EC8">
        <w:rPr>
          <w:rFonts w:asciiTheme="majorHAnsi" w:hAnsiTheme="majorHAnsi"/>
          <w:color w:val="000000"/>
          <w:sz w:val="24"/>
          <w:szCs w:val="24"/>
        </w:rPr>
        <w:t xml:space="preserve"> the national level</w:t>
      </w:r>
      <w:r w:rsidR="008E6EB6">
        <w:rPr>
          <w:rFonts w:asciiTheme="majorHAnsi" w:hAnsiTheme="majorHAnsi"/>
          <w:color w:val="000000"/>
          <w:sz w:val="24"/>
          <w:szCs w:val="24"/>
        </w:rPr>
        <w:t>,</w:t>
      </w:r>
      <w:r w:rsidR="008E6EB6" w:rsidRPr="00230EC8">
        <w:rPr>
          <w:rFonts w:asciiTheme="majorHAnsi" w:hAnsiTheme="majorHAnsi"/>
          <w:color w:val="000000"/>
          <w:sz w:val="24"/>
          <w:szCs w:val="24"/>
        </w:rPr>
        <w:t xml:space="preserve"> and in an international and European context.  </w:t>
      </w:r>
      <w:r w:rsidR="008E6EB6">
        <w:rPr>
          <w:rFonts w:asciiTheme="majorHAnsi" w:hAnsiTheme="majorHAnsi"/>
          <w:color w:val="000000"/>
          <w:sz w:val="24"/>
          <w:szCs w:val="24"/>
        </w:rPr>
        <w:t>Th</w:t>
      </w:r>
      <w:r w:rsidR="00796BE5">
        <w:rPr>
          <w:rFonts w:asciiTheme="majorHAnsi" w:hAnsiTheme="majorHAnsi"/>
          <w:color w:val="000000"/>
          <w:sz w:val="24"/>
          <w:szCs w:val="24"/>
        </w:rPr>
        <w:t>is</w:t>
      </w:r>
      <w:r w:rsidR="008E6EB6">
        <w:rPr>
          <w:rFonts w:asciiTheme="majorHAnsi" w:hAnsiTheme="majorHAnsi"/>
          <w:color w:val="000000"/>
          <w:sz w:val="24"/>
          <w:szCs w:val="24"/>
        </w:rPr>
        <w:t xml:space="preserve"> layered mechanism of governance perpetuates the harmonization of national educational institutions and systems through persuasion and systemic incentives rather than authoritat</w:t>
      </w:r>
      <w:r w:rsidR="00353584">
        <w:rPr>
          <w:rFonts w:asciiTheme="majorHAnsi" w:hAnsiTheme="majorHAnsi"/>
          <w:color w:val="000000"/>
          <w:sz w:val="24"/>
          <w:szCs w:val="24"/>
        </w:rPr>
        <w:t>ive sanctions for noncompliance.</w:t>
      </w:r>
      <w:r w:rsidR="00353584" w:rsidRPr="00230EC8">
        <w:rPr>
          <w:rStyle w:val="FootnoteReference"/>
          <w:rFonts w:asciiTheme="majorHAnsi" w:hAnsiTheme="majorHAnsi"/>
          <w:color w:val="000000"/>
          <w:sz w:val="24"/>
          <w:szCs w:val="24"/>
        </w:rPr>
        <w:footnoteReference w:id="34"/>
      </w:r>
    </w:p>
    <w:p w14:paraId="7FCF8EA7" w14:textId="77777777" w:rsidR="004F6C15" w:rsidRDefault="004F6C15" w:rsidP="00870B6A">
      <w:pPr>
        <w:spacing w:after="0" w:line="240" w:lineRule="auto"/>
        <w:contextualSpacing/>
        <w:jc w:val="both"/>
        <w:rPr>
          <w:rFonts w:asciiTheme="majorHAnsi" w:hAnsiTheme="majorHAnsi"/>
          <w:sz w:val="24"/>
          <w:szCs w:val="24"/>
        </w:rPr>
      </w:pPr>
    </w:p>
    <w:p w14:paraId="58A08664" w14:textId="062C3676" w:rsidR="006467C1" w:rsidRDefault="006467C1" w:rsidP="00870B6A">
      <w:pPr>
        <w:spacing w:after="0" w:line="240" w:lineRule="auto"/>
        <w:contextualSpacing/>
        <w:jc w:val="both"/>
        <w:rPr>
          <w:rFonts w:asciiTheme="majorHAnsi" w:hAnsiTheme="majorHAnsi"/>
          <w:sz w:val="24"/>
          <w:szCs w:val="24"/>
        </w:rPr>
      </w:pPr>
      <w:r>
        <w:rPr>
          <w:rFonts w:asciiTheme="majorHAnsi" w:hAnsiTheme="majorHAnsi"/>
          <w:sz w:val="24"/>
          <w:szCs w:val="24"/>
        </w:rPr>
        <w:t>These reforms have had a substantial impact on higher education in European states.</w:t>
      </w:r>
      <w:r w:rsidR="008E6EB6">
        <w:rPr>
          <w:rFonts w:asciiTheme="majorHAnsi" w:hAnsiTheme="majorHAnsi"/>
          <w:sz w:val="24"/>
          <w:szCs w:val="24"/>
        </w:rPr>
        <w:t xml:space="preserve">  </w:t>
      </w:r>
      <w:r w:rsidR="00580D8C">
        <w:rPr>
          <w:rFonts w:asciiTheme="majorHAnsi" w:hAnsiTheme="majorHAnsi"/>
          <w:sz w:val="24"/>
          <w:szCs w:val="24"/>
        </w:rPr>
        <w:t>Indeed, they have had an impact on PME as these systems have moved to integrate themselves into national systems of higher education.</w:t>
      </w:r>
      <w:r w:rsidR="00580D8C">
        <w:rPr>
          <w:rStyle w:val="FootnoteReference"/>
          <w:rFonts w:asciiTheme="majorHAnsi" w:hAnsiTheme="majorHAnsi"/>
          <w:sz w:val="24"/>
          <w:szCs w:val="24"/>
        </w:rPr>
        <w:footnoteReference w:id="35"/>
      </w:r>
      <w:r w:rsidR="00580D8C">
        <w:rPr>
          <w:rFonts w:asciiTheme="majorHAnsi" w:hAnsiTheme="majorHAnsi"/>
          <w:sz w:val="24"/>
          <w:szCs w:val="24"/>
        </w:rPr>
        <w:t xml:space="preserve">  </w:t>
      </w:r>
      <w:r w:rsidR="008E6EB6">
        <w:rPr>
          <w:rFonts w:asciiTheme="majorHAnsi" w:hAnsiTheme="majorHAnsi"/>
          <w:sz w:val="24"/>
          <w:szCs w:val="24"/>
        </w:rPr>
        <w:t>Th</w:t>
      </w:r>
      <w:r w:rsidR="00353584">
        <w:rPr>
          <w:rFonts w:asciiTheme="majorHAnsi" w:hAnsiTheme="majorHAnsi"/>
          <w:sz w:val="24"/>
          <w:szCs w:val="24"/>
        </w:rPr>
        <w:t xml:space="preserve">ey are based upon five principles: standardization of educational </w:t>
      </w:r>
      <w:r w:rsidR="0019769E">
        <w:rPr>
          <w:rFonts w:asciiTheme="majorHAnsi" w:hAnsiTheme="majorHAnsi"/>
          <w:sz w:val="24"/>
          <w:szCs w:val="24"/>
        </w:rPr>
        <w:t>credit;</w:t>
      </w:r>
      <w:r w:rsidR="008E6EB6">
        <w:rPr>
          <w:rFonts w:asciiTheme="majorHAnsi" w:hAnsiTheme="majorHAnsi"/>
          <w:sz w:val="24"/>
          <w:szCs w:val="24"/>
        </w:rPr>
        <w:t xml:space="preserve"> standar</w:t>
      </w:r>
      <w:r w:rsidR="0019769E">
        <w:rPr>
          <w:rFonts w:asciiTheme="majorHAnsi" w:hAnsiTheme="majorHAnsi"/>
          <w:sz w:val="24"/>
          <w:szCs w:val="24"/>
        </w:rPr>
        <w:t>dization of degree requirements;</w:t>
      </w:r>
      <w:r w:rsidR="008E6EB6">
        <w:rPr>
          <w:rFonts w:asciiTheme="majorHAnsi" w:hAnsiTheme="majorHAnsi"/>
          <w:sz w:val="24"/>
          <w:szCs w:val="24"/>
        </w:rPr>
        <w:t xml:space="preserve"> </w:t>
      </w:r>
      <w:r w:rsidR="00353584">
        <w:rPr>
          <w:rFonts w:asciiTheme="majorHAnsi" w:hAnsiTheme="majorHAnsi"/>
          <w:sz w:val="24"/>
          <w:szCs w:val="24"/>
        </w:rPr>
        <w:t>development of competency descriptions for higher and</w:t>
      </w:r>
      <w:r w:rsidR="0019769E">
        <w:rPr>
          <w:rFonts w:asciiTheme="majorHAnsi" w:hAnsiTheme="majorHAnsi"/>
          <w:sz w:val="24"/>
          <w:szCs w:val="24"/>
        </w:rPr>
        <w:t xml:space="preserve"> vocational-technical education;</w:t>
      </w:r>
      <w:r w:rsidR="00353584">
        <w:rPr>
          <w:rFonts w:asciiTheme="majorHAnsi" w:hAnsiTheme="majorHAnsi"/>
          <w:sz w:val="24"/>
          <w:szCs w:val="24"/>
        </w:rPr>
        <w:t xml:space="preserve"> quality assurance at the institutional, national, and intern</w:t>
      </w:r>
      <w:r w:rsidR="0019769E">
        <w:rPr>
          <w:rFonts w:asciiTheme="majorHAnsi" w:hAnsiTheme="majorHAnsi"/>
          <w:sz w:val="24"/>
          <w:szCs w:val="24"/>
        </w:rPr>
        <w:t>ational level;</w:t>
      </w:r>
      <w:r w:rsidR="00353584">
        <w:rPr>
          <w:rFonts w:asciiTheme="majorHAnsi" w:hAnsiTheme="majorHAnsi"/>
          <w:sz w:val="24"/>
          <w:szCs w:val="24"/>
        </w:rPr>
        <w:t xml:space="preserve"> and recognition that inc</w:t>
      </w:r>
      <w:r w:rsidR="00796BE5">
        <w:rPr>
          <w:rFonts w:asciiTheme="majorHAnsi" w:hAnsiTheme="majorHAnsi"/>
          <w:sz w:val="24"/>
          <w:szCs w:val="24"/>
        </w:rPr>
        <w:t>entives built into the layered p</w:t>
      </w:r>
      <w:r w:rsidR="00353584">
        <w:rPr>
          <w:rFonts w:asciiTheme="majorHAnsi" w:hAnsiTheme="majorHAnsi"/>
          <w:sz w:val="24"/>
          <w:szCs w:val="24"/>
        </w:rPr>
        <w:t>rocesses are sufficient to perpetuate harmonization across institutions, educational sectors, and borders.</w:t>
      </w:r>
      <w:r w:rsidR="006A46FD">
        <w:rPr>
          <w:rFonts w:asciiTheme="majorHAnsi" w:hAnsiTheme="majorHAnsi"/>
          <w:sz w:val="24"/>
          <w:szCs w:val="24"/>
        </w:rPr>
        <w:t xml:space="preserve">  </w:t>
      </w:r>
    </w:p>
    <w:p w14:paraId="21508F8F" w14:textId="77777777" w:rsidR="001C1A53" w:rsidRDefault="001C1A53" w:rsidP="00870B6A">
      <w:pPr>
        <w:spacing w:after="0" w:line="240" w:lineRule="auto"/>
        <w:contextualSpacing/>
        <w:jc w:val="both"/>
        <w:rPr>
          <w:rFonts w:asciiTheme="majorHAnsi" w:hAnsiTheme="majorHAnsi"/>
          <w:sz w:val="24"/>
          <w:szCs w:val="24"/>
        </w:rPr>
      </w:pPr>
    </w:p>
    <w:p w14:paraId="2AA023A3" w14:textId="77777777" w:rsidR="00153550" w:rsidRPr="00153550" w:rsidRDefault="00153550" w:rsidP="00870B6A">
      <w:pPr>
        <w:spacing w:after="0" w:line="240" w:lineRule="auto"/>
        <w:contextualSpacing/>
        <w:jc w:val="both"/>
        <w:rPr>
          <w:rFonts w:asciiTheme="majorHAnsi" w:hAnsiTheme="majorHAnsi"/>
          <w:i/>
          <w:sz w:val="24"/>
          <w:szCs w:val="24"/>
        </w:rPr>
      </w:pPr>
      <w:r>
        <w:rPr>
          <w:rFonts w:asciiTheme="majorHAnsi" w:hAnsiTheme="majorHAnsi"/>
          <w:i/>
          <w:sz w:val="24"/>
          <w:szCs w:val="24"/>
        </w:rPr>
        <w:t xml:space="preserve">Fostering </w:t>
      </w:r>
      <w:r w:rsidRPr="00153550">
        <w:rPr>
          <w:rFonts w:asciiTheme="majorHAnsi" w:hAnsiTheme="majorHAnsi"/>
          <w:i/>
          <w:sz w:val="24"/>
          <w:szCs w:val="24"/>
        </w:rPr>
        <w:t>Nordic Cooperation</w:t>
      </w:r>
    </w:p>
    <w:p w14:paraId="5C83F104" w14:textId="304ADE52" w:rsidR="0050316D" w:rsidRPr="00322123" w:rsidRDefault="007A665B" w:rsidP="00870B6A">
      <w:pPr>
        <w:spacing w:after="0" w:line="240" w:lineRule="auto"/>
        <w:contextualSpacing/>
        <w:jc w:val="both"/>
        <w:rPr>
          <w:rFonts w:ascii="Cambria" w:hAnsi="Cambria"/>
          <w:sz w:val="24"/>
          <w:szCs w:val="24"/>
        </w:rPr>
      </w:pPr>
      <w:r w:rsidRPr="003F03DB">
        <w:rPr>
          <w:rFonts w:asciiTheme="majorHAnsi" w:hAnsiTheme="majorHAnsi"/>
          <w:sz w:val="24"/>
          <w:szCs w:val="24"/>
        </w:rPr>
        <w:t xml:space="preserve">How might </w:t>
      </w:r>
      <w:r w:rsidR="0018430C">
        <w:rPr>
          <w:rFonts w:asciiTheme="majorHAnsi" w:hAnsiTheme="majorHAnsi"/>
          <w:sz w:val="24"/>
          <w:szCs w:val="24"/>
        </w:rPr>
        <w:t>the</w:t>
      </w:r>
      <w:r w:rsidR="0019769E">
        <w:rPr>
          <w:rFonts w:asciiTheme="majorHAnsi" w:hAnsiTheme="majorHAnsi"/>
          <w:sz w:val="24"/>
          <w:szCs w:val="24"/>
        </w:rPr>
        <w:t>se</w:t>
      </w:r>
      <w:r w:rsidR="0018430C">
        <w:rPr>
          <w:rFonts w:asciiTheme="majorHAnsi" w:hAnsiTheme="majorHAnsi"/>
          <w:sz w:val="24"/>
          <w:szCs w:val="24"/>
        </w:rPr>
        <w:t xml:space="preserve"> principles </w:t>
      </w:r>
      <w:r w:rsidRPr="003F03DB">
        <w:rPr>
          <w:rFonts w:asciiTheme="majorHAnsi" w:hAnsiTheme="majorHAnsi"/>
          <w:sz w:val="24"/>
          <w:szCs w:val="24"/>
        </w:rPr>
        <w:t xml:space="preserve">be applied to </w:t>
      </w:r>
      <w:r w:rsidR="00C33486">
        <w:rPr>
          <w:rFonts w:asciiTheme="majorHAnsi" w:hAnsiTheme="majorHAnsi"/>
          <w:sz w:val="24"/>
          <w:szCs w:val="24"/>
        </w:rPr>
        <w:t>Nordic command and staff</w:t>
      </w:r>
      <w:r w:rsidRPr="003F03DB">
        <w:rPr>
          <w:rFonts w:asciiTheme="majorHAnsi" w:hAnsiTheme="majorHAnsi"/>
          <w:sz w:val="24"/>
          <w:szCs w:val="24"/>
        </w:rPr>
        <w:t xml:space="preserve"> education? </w:t>
      </w:r>
      <w:r w:rsidR="00276D81">
        <w:rPr>
          <w:rFonts w:asciiTheme="majorHAnsi" w:hAnsiTheme="majorHAnsi"/>
          <w:sz w:val="24"/>
          <w:szCs w:val="24"/>
        </w:rPr>
        <w:t xml:space="preserve"> </w:t>
      </w:r>
      <w:r w:rsidR="00322123">
        <w:rPr>
          <w:rFonts w:asciiTheme="majorHAnsi" w:hAnsiTheme="majorHAnsi"/>
          <w:sz w:val="24"/>
          <w:szCs w:val="24"/>
        </w:rPr>
        <w:t xml:space="preserve">Although it might be tempting to consider these principles in the order that they built upon one another in the civilian realm, </w:t>
      </w:r>
      <w:r w:rsidR="00580D8C">
        <w:rPr>
          <w:rFonts w:asciiTheme="majorHAnsi" w:hAnsiTheme="majorHAnsi"/>
          <w:sz w:val="24"/>
          <w:szCs w:val="24"/>
        </w:rPr>
        <w:t>cross-border PME harmoniz</w:t>
      </w:r>
      <w:r w:rsidR="00322123">
        <w:rPr>
          <w:rFonts w:asciiTheme="majorHAnsi" w:hAnsiTheme="majorHAnsi"/>
          <w:sz w:val="24"/>
          <w:szCs w:val="24"/>
        </w:rPr>
        <w:t xml:space="preserve">ation should begin with the recognition that common competencies are expected from officers of </w:t>
      </w:r>
      <w:r w:rsidR="0050316D">
        <w:rPr>
          <w:rFonts w:asciiTheme="majorHAnsi" w:hAnsiTheme="majorHAnsi"/>
          <w:sz w:val="24"/>
          <w:szCs w:val="24"/>
        </w:rPr>
        <w:t xml:space="preserve">particular ranks and levels of responsibility.  </w:t>
      </w:r>
      <w:r w:rsidR="0050316D" w:rsidRPr="00322123">
        <w:rPr>
          <w:rFonts w:ascii="Cambria" w:hAnsi="Cambria"/>
          <w:sz w:val="24"/>
          <w:szCs w:val="24"/>
        </w:rPr>
        <w:t xml:space="preserve">In </w:t>
      </w:r>
      <w:r w:rsidR="0050316D">
        <w:rPr>
          <w:rFonts w:ascii="Cambria" w:hAnsi="Cambria"/>
          <w:sz w:val="24"/>
          <w:szCs w:val="24"/>
        </w:rPr>
        <w:t>PME, such competencies</w:t>
      </w:r>
      <w:r w:rsidR="0050316D" w:rsidRPr="00322123">
        <w:rPr>
          <w:rFonts w:ascii="Cambria" w:hAnsi="Cambria"/>
          <w:sz w:val="24"/>
          <w:szCs w:val="24"/>
        </w:rPr>
        <w:t xml:space="preserve"> have long been </w:t>
      </w:r>
      <w:r w:rsidR="0050316D">
        <w:rPr>
          <w:rFonts w:ascii="Cambria" w:hAnsi="Cambria"/>
          <w:sz w:val="24"/>
          <w:szCs w:val="24"/>
        </w:rPr>
        <w:t>explicitly used to develop and assess</w:t>
      </w:r>
      <w:r w:rsidR="0050316D" w:rsidRPr="00322123">
        <w:rPr>
          <w:rFonts w:ascii="Cambria" w:hAnsi="Cambria"/>
          <w:sz w:val="24"/>
          <w:szCs w:val="24"/>
        </w:rPr>
        <w:t xml:space="preserve"> curricula. </w:t>
      </w:r>
      <w:r w:rsidR="00E8057E">
        <w:rPr>
          <w:rFonts w:ascii="Cambria" w:hAnsi="Cambria"/>
          <w:sz w:val="24"/>
          <w:szCs w:val="24"/>
        </w:rPr>
        <w:t>Across the EU, 59 of 65 undergraduate PME institutions have competency descriptions and 34 of them use them as the basis for awarding credit.</w:t>
      </w:r>
      <w:r w:rsidR="00E8057E">
        <w:rPr>
          <w:rStyle w:val="FootnoteReference"/>
        </w:rPr>
        <w:footnoteReference w:id="36"/>
      </w:r>
      <w:r w:rsidR="00E8057E">
        <w:rPr>
          <w:rFonts w:ascii="Cambria" w:hAnsi="Cambria"/>
          <w:sz w:val="24"/>
          <w:szCs w:val="24"/>
        </w:rPr>
        <w:t xml:space="preserve">  At the command and staff level, 40 of 43 institutions have competency descriptions and 25 of those use them to assign credit.</w:t>
      </w:r>
      <w:r w:rsidR="00E8057E">
        <w:rPr>
          <w:rStyle w:val="FootnoteReference"/>
        </w:rPr>
        <w:footnoteReference w:id="37"/>
      </w:r>
      <w:r w:rsidR="00E8057E">
        <w:rPr>
          <w:rFonts w:ascii="Cambria" w:hAnsi="Cambria"/>
          <w:sz w:val="24"/>
          <w:szCs w:val="24"/>
        </w:rPr>
        <w:t xml:space="preserve">  These include the institutions of Sweden and Finland.  Norway and Denmark have national competency descriptions and are moving to use them to assign credit.</w:t>
      </w:r>
      <w:r w:rsidR="007F7171" w:rsidRPr="00937E2E">
        <w:rPr>
          <w:rStyle w:val="FootnoteReference"/>
          <w:rFonts w:ascii="Cambria" w:hAnsi="Cambria"/>
          <w:sz w:val="24"/>
          <w:szCs w:val="24"/>
        </w:rPr>
        <w:footnoteReference w:id="38"/>
      </w:r>
      <w:r w:rsidR="0050316D">
        <w:rPr>
          <w:rFonts w:ascii="Cambria" w:hAnsi="Cambria"/>
          <w:sz w:val="24"/>
          <w:szCs w:val="24"/>
        </w:rPr>
        <w:t xml:space="preserve">  </w:t>
      </w:r>
    </w:p>
    <w:p w14:paraId="4CC20743" w14:textId="77777777" w:rsidR="001C1A53" w:rsidRDefault="001C1A53" w:rsidP="00870B6A">
      <w:pPr>
        <w:spacing w:after="0" w:line="240" w:lineRule="auto"/>
        <w:contextualSpacing/>
        <w:jc w:val="both"/>
        <w:rPr>
          <w:rFonts w:asciiTheme="majorHAnsi" w:hAnsiTheme="majorHAnsi"/>
          <w:sz w:val="24"/>
          <w:szCs w:val="24"/>
        </w:rPr>
      </w:pPr>
    </w:p>
    <w:p w14:paraId="4A9D62E4" w14:textId="77777777" w:rsidR="0030099A" w:rsidRDefault="00AB734C" w:rsidP="00870B6A">
      <w:pPr>
        <w:spacing w:after="0" w:line="240" w:lineRule="auto"/>
        <w:contextualSpacing/>
        <w:jc w:val="both"/>
        <w:rPr>
          <w:rFonts w:asciiTheme="majorHAnsi" w:hAnsiTheme="majorHAnsi"/>
          <w:sz w:val="24"/>
          <w:szCs w:val="24"/>
        </w:rPr>
      </w:pPr>
      <w:r>
        <w:rPr>
          <w:rFonts w:ascii="Cambria" w:hAnsi="Cambria"/>
          <w:sz w:val="24"/>
          <w:szCs w:val="24"/>
        </w:rPr>
        <w:t>A</w:t>
      </w:r>
      <w:r w:rsidR="00D13797">
        <w:rPr>
          <w:rFonts w:ascii="Cambria" w:hAnsi="Cambria"/>
          <w:sz w:val="24"/>
          <w:szCs w:val="24"/>
        </w:rPr>
        <w:t>greement on common competencies that should be developed by a command and</w:t>
      </w:r>
      <w:r>
        <w:rPr>
          <w:rFonts w:ascii="Cambria" w:hAnsi="Cambria"/>
          <w:sz w:val="24"/>
          <w:szCs w:val="24"/>
        </w:rPr>
        <w:t xml:space="preserve"> staff college education would enable</w:t>
      </w:r>
      <w:r w:rsidR="00D13797">
        <w:rPr>
          <w:rFonts w:ascii="Cambria" w:hAnsi="Cambria"/>
          <w:sz w:val="24"/>
          <w:szCs w:val="24"/>
        </w:rPr>
        <w:t xml:space="preserve"> a wide degree of cooperation that can go beyond that in the civilian realm.  Common competencies suggest similar curricula </w:t>
      </w:r>
      <w:r w:rsidR="0030099A">
        <w:rPr>
          <w:rFonts w:asciiTheme="majorHAnsi" w:hAnsiTheme="majorHAnsi"/>
          <w:sz w:val="24"/>
          <w:szCs w:val="24"/>
        </w:rPr>
        <w:t xml:space="preserve">in command and staff courses since officers at this point in their career are being prepared of similar levels of responsibility. </w:t>
      </w:r>
      <w:r w:rsidR="00D13797">
        <w:rPr>
          <w:rFonts w:ascii="Cambria" w:hAnsi="Cambria"/>
          <w:sz w:val="24"/>
          <w:szCs w:val="24"/>
        </w:rPr>
        <w:t xml:space="preserve">NORDEFCO has already adopted the principle of “common courses for common purposes” in its specialty training courses.  </w:t>
      </w:r>
      <w:r w:rsidR="0030099A">
        <w:rPr>
          <w:rFonts w:ascii="Cambria" w:hAnsi="Cambria"/>
          <w:sz w:val="24"/>
          <w:szCs w:val="24"/>
        </w:rPr>
        <w:t>Therefore, it is a short step to conclude that c</w:t>
      </w:r>
      <w:r w:rsidR="00D82C90">
        <w:rPr>
          <w:rFonts w:asciiTheme="majorHAnsi" w:hAnsiTheme="majorHAnsi"/>
          <w:sz w:val="24"/>
          <w:szCs w:val="24"/>
        </w:rPr>
        <w:t xml:space="preserve">ommon courses for common purposes </w:t>
      </w:r>
      <w:r w:rsidR="0030099A">
        <w:rPr>
          <w:rFonts w:asciiTheme="majorHAnsi" w:hAnsiTheme="majorHAnsi"/>
          <w:sz w:val="24"/>
          <w:szCs w:val="24"/>
        </w:rPr>
        <w:t xml:space="preserve">to develop common competencies in field-grade officers </w:t>
      </w:r>
      <w:r w:rsidR="00891141">
        <w:rPr>
          <w:rFonts w:asciiTheme="majorHAnsi" w:hAnsiTheme="majorHAnsi"/>
          <w:sz w:val="24"/>
          <w:szCs w:val="24"/>
        </w:rPr>
        <w:t>should be developed—particularly with regard to education and training that addresses multinational cooperation.</w:t>
      </w:r>
    </w:p>
    <w:p w14:paraId="12E79E98" w14:textId="77777777" w:rsidR="0030099A" w:rsidRDefault="0030099A" w:rsidP="00870B6A">
      <w:pPr>
        <w:spacing w:after="0" w:line="240" w:lineRule="auto"/>
        <w:contextualSpacing/>
        <w:jc w:val="both"/>
        <w:rPr>
          <w:rFonts w:asciiTheme="majorHAnsi" w:hAnsiTheme="majorHAnsi"/>
          <w:sz w:val="24"/>
          <w:szCs w:val="24"/>
        </w:rPr>
      </w:pPr>
    </w:p>
    <w:p w14:paraId="5ABBF7EC" w14:textId="77777777" w:rsidR="0030099A" w:rsidRDefault="00D82C90"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Second, the most substantial barrier to foreign officer participation in higher education is </w:t>
      </w:r>
      <w:r w:rsidRPr="005A6230">
        <w:rPr>
          <w:rFonts w:asciiTheme="majorHAnsi" w:hAnsiTheme="majorHAnsi"/>
          <w:sz w:val="24"/>
          <w:szCs w:val="24"/>
        </w:rPr>
        <w:t xml:space="preserve">language—even among the Nordic countries.  Common courses for common purposes ought to be taught in a common language: English. </w:t>
      </w:r>
      <w:r w:rsidR="0030099A">
        <w:rPr>
          <w:rFonts w:asciiTheme="majorHAnsi" w:hAnsiTheme="majorHAnsi"/>
          <w:sz w:val="24"/>
          <w:szCs w:val="24"/>
        </w:rPr>
        <w:t xml:space="preserve">Nordic courses in peacekeeping and peace support operations have long been based upon English-language materials and instruction because </w:t>
      </w:r>
      <w:r w:rsidR="0030099A" w:rsidRPr="005A6230">
        <w:rPr>
          <w:rFonts w:asciiTheme="majorHAnsi" w:hAnsiTheme="majorHAnsi"/>
          <w:sz w:val="24"/>
          <w:szCs w:val="24"/>
        </w:rPr>
        <w:t>English is the language that will be used in multin</w:t>
      </w:r>
      <w:r w:rsidR="00A42319">
        <w:rPr>
          <w:rFonts w:asciiTheme="majorHAnsi" w:hAnsiTheme="majorHAnsi"/>
          <w:sz w:val="24"/>
          <w:szCs w:val="24"/>
        </w:rPr>
        <w:t>ational military operations.  P</w:t>
      </w:r>
      <w:r w:rsidR="0030099A" w:rsidRPr="005A6230">
        <w:rPr>
          <w:rFonts w:asciiTheme="majorHAnsi" w:hAnsiTheme="majorHAnsi"/>
          <w:sz w:val="24"/>
          <w:szCs w:val="24"/>
        </w:rPr>
        <w:t>reparation to perform well in those circumstances requires mastery of the material in that language.</w:t>
      </w:r>
      <w:r w:rsidR="0030099A">
        <w:rPr>
          <w:rStyle w:val="FootnoteReference"/>
          <w:rFonts w:asciiTheme="majorHAnsi" w:hAnsiTheme="majorHAnsi"/>
          <w:sz w:val="24"/>
          <w:szCs w:val="24"/>
        </w:rPr>
        <w:footnoteReference w:id="39"/>
      </w:r>
    </w:p>
    <w:p w14:paraId="7822F63E" w14:textId="77777777" w:rsidR="0030099A" w:rsidRDefault="0030099A" w:rsidP="00870B6A">
      <w:pPr>
        <w:spacing w:after="0" w:line="240" w:lineRule="auto"/>
        <w:contextualSpacing/>
        <w:jc w:val="both"/>
        <w:rPr>
          <w:rFonts w:asciiTheme="majorHAnsi" w:hAnsiTheme="majorHAnsi"/>
          <w:sz w:val="24"/>
          <w:szCs w:val="24"/>
        </w:rPr>
      </w:pPr>
    </w:p>
    <w:p w14:paraId="704D9CBC" w14:textId="77777777" w:rsidR="0030099A" w:rsidRDefault="0030099A" w:rsidP="00870B6A">
      <w:pPr>
        <w:spacing w:after="0" w:line="240" w:lineRule="auto"/>
        <w:contextualSpacing/>
        <w:jc w:val="both"/>
        <w:rPr>
          <w:rFonts w:asciiTheme="majorHAnsi" w:hAnsiTheme="majorHAnsi"/>
          <w:sz w:val="24"/>
          <w:szCs w:val="24"/>
        </w:rPr>
      </w:pPr>
      <w:r>
        <w:rPr>
          <w:rFonts w:asciiTheme="majorHAnsi" w:hAnsiTheme="majorHAnsi"/>
          <w:sz w:val="24"/>
          <w:szCs w:val="24"/>
        </w:rPr>
        <w:t>Third</w:t>
      </w:r>
      <w:r w:rsidR="00D82C90">
        <w:rPr>
          <w:rFonts w:asciiTheme="majorHAnsi" w:hAnsiTheme="majorHAnsi"/>
          <w:sz w:val="24"/>
          <w:szCs w:val="24"/>
        </w:rPr>
        <w:t xml:space="preserve">, a common governance structure to facilitate monitoring of competency development and assure </w:t>
      </w:r>
      <w:r w:rsidR="00A42319">
        <w:rPr>
          <w:rFonts w:asciiTheme="majorHAnsi" w:hAnsiTheme="majorHAnsi"/>
          <w:sz w:val="24"/>
          <w:szCs w:val="24"/>
        </w:rPr>
        <w:t xml:space="preserve">the </w:t>
      </w:r>
      <w:r w:rsidR="00D82C90">
        <w:rPr>
          <w:rFonts w:asciiTheme="majorHAnsi" w:hAnsiTheme="majorHAnsi"/>
          <w:sz w:val="24"/>
          <w:szCs w:val="24"/>
        </w:rPr>
        <w:t xml:space="preserve">quality of the education provided must be established.  </w:t>
      </w:r>
      <w:r>
        <w:rPr>
          <w:rFonts w:asciiTheme="majorHAnsi" w:hAnsiTheme="majorHAnsi"/>
          <w:sz w:val="24"/>
          <w:szCs w:val="24"/>
        </w:rPr>
        <w:t xml:space="preserve">Harmonization of civilian educational systems is driven by the </w:t>
      </w:r>
      <w:r w:rsidR="00A42319">
        <w:rPr>
          <w:rFonts w:asciiTheme="majorHAnsi" w:hAnsiTheme="majorHAnsi"/>
          <w:sz w:val="24"/>
          <w:szCs w:val="24"/>
        </w:rPr>
        <w:t>layered</w:t>
      </w:r>
      <w:r>
        <w:rPr>
          <w:rFonts w:asciiTheme="majorHAnsi" w:hAnsiTheme="majorHAnsi"/>
          <w:sz w:val="24"/>
          <w:szCs w:val="24"/>
        </w:rPr>
        <w:t xml:space="preserve"> governing structure of quality assurance.  National militaries have an even greater incentive than</w:t>
      </w:r>
      <w:r w:rsidR="00AC2A3D">
        <w:rPr>
          <w:rFonts w:asciiTheme="majorHAnsi" w:hAnsiTheme="majorHAnsi"/>
          <w:sz w:val="24"/>
          <w:szCs w:val="24"/>
        </w:rPr>
        <w:t xml:space="preserve"> national educational ministries to ensure that their educational institutions produce competent </w:t>
      </w:r>
      <w:proofErr w:type="gramStart"/>
      <w:r w:rsidR="00AC2A3D">
        <w:rPr>
          <w:rFonts w:asciiTheme="majorHAnsi" w:hAnsiTheme="majorHAnsi"/>
          <w:sz w:val="24"/>
          <w:szCs w:val="24"/>
        </w:rPr>
        <w:t>graduates</w:t>
      </w:r>
      <w:proofErr w:type="gramEnd"/>
      <w:r w:rsidR="00A42319">
        <w:rPr>
          <w:rFonts w:asciiTheme="majorHAnsi" w:hAnsiTheme="majorHAnsi"/>
          <w:sz w:val="24"/>
          <w:szCs w:val="24"/>
        </w:rPr>
        <w:t xml:space="preserve"> as these are their own employees</w:t>
      </w:r>
      <w:r w:rsidR="00AC2A3D">
        <w:rPr>
          <w:rFonts w:asciiTheme="majorHAnsi" w:hAnsiTheme="majorHAnsi"/>
          <w:sz w:val="24"/>
          <w:szCs w:val="24"/>
        </w:rPr>
        <w:t xml:space="preserve">.  </w:t>
      </w:r>
      <w:r w:rsidR="00AC2A3D" w:rsidRPr="00230EC8">
        <w:rPr>
          <w:rFonts w:asciiTheme="majorHAnsi" w:hAnsiTheme="majorHAnsi"/>
          <w:sz w:val="24"/>
          <w:szCs w:val="24"/>
          <w:shd w:val="clear" w:color="auto" w:fill="FFFFFF"/>
        </w:rPr>
        <w:t xml:space="preserve">NORDEFCO’s working group has indicated that “common competent </w:t>
      </w:r>
      <w:proofErr w:type="gramStart"/>
      <w:r w:rsidR="00AC2A3D" w:rsidRPr="00230EC8">
        <w:rPr>
          <w:rFonts w:asciiTheme="majorHAnsi" w:hAnsiTheme="majorHAnsi"/>
          <w:sz w:val="24"/>
          <w:szCs w:val="24"/>
          <w:shd w:val="clear" w:color="auto" w:fill="FFFFFF"/>
        </w:rPr>
        <w:t>bod[</w:t>
      </w:r>
      <w:proofErr w:type="spellStart"/>
      <w:proofErr w:type="gramEnd"/>
      <w:r w:rsidR="00AC2A3D" w:rsidRPr="00230EC8">
        <w:rPr>
          <w:rFonts w:asciiTheme="majorHAnsi" w:hAnsiTheme="majorHAnsi"/>
          <w:sz w:val="24"/>
          <w:szCs w:val="24"/>
          <w:shd w:val="clear" w:color="auto" w:fill="FFFFFF"/>
        </w:rPr>
        <w:t>ies</w:t>
      </w:r>
      <w:proofErr w:type="spellEnd"/>
      <w:r w:rsidR="00AC2A3D" w:rsidRPr="00230EC8">
        <w:rPr>
          <w:rFonts w:asciiTheme="majorHAnsi" w:hAnsiTheme="majorHAnsi"/>
          <w:sz w:val="24"/>
          <w:szCs w:val="24"/>
          <w:shd w:val="clear" w:color="auto" w:fill="FFFFFF"/>
        </w:rPr>
        <w:t xml:space="preserve">] for recognition [and] certifying staff” should be pursued </w:t>
      </w:r>
      <w:r w:rsidR="00AC2A3D">
        <w:rPr>
          <w:rFonts w:asciiTheme="majorHAnsi" w:hAnsiTheme="majorHAnsi"/>
          <w:sz w:val="24"/>
          <w:szCs w:val="24"/>
          <w:shd w:val="clear" w:color="auto" w:fill="FFFFFF"/>
        </w:rPr>
        <w:t>as a means of ensuring the quality of common courses</w:t>
      </w:r>
      <w:r w:rsidR="00AC2A3D" w:rsidRPr="00230EC8">
        <w:rPr>
          <w:rFonts w:asciiTheme="majorHAnsi" w:hAnsiTheme="majorHAnsi"/>
          <w:sz w:val="24"/>
          <w:szCs w:val="24"/>
          <w:shd w:val="clear" w:color="auto" w:fill="FFFFFF"/>
        </w:rPr>
        <w:t>.</w:t>
      </w:r>
      <w:r w:rsidR="00AC2A3D" w:rsidRPr="00230EC8">
        <w:rPr>
          <w:rStyle w:val="FootnoteReference"/>
          <w:rFonts w:asciiTheme="majorHAnsi" w:hAnsiTheme="majorHAnsi"/>
          <w:sz w:val="24"/>
          <w:szCs w:val="24"/>
          <w:shd w:val="clear" w:color="auto" w:fill="FFFFFF"/>
        </w:rPr>
        <w:footnoteReference w:id="40"/>
      </w:r>
      <w:r w:rsidR="00AC2A3D">
        <w:rPr>
          <w:rFonts w:asciiTheme="majorHAnsi" w:hAnsiTheme="majorHAnsi"/>
          <w:sz w:val="24"/>
          <w:szCs w:val="24"/>
          <w:shd w:val="clear" w:color="auto" w:fill="FFFFFF"/>
        </w:rPr>
        <w:t xml:space="preserve">  The logic of the initiative suggests that these “common competent bodies” can develop into a certification and accreditation regime for the training courses and common command and staff courses.</w:t>
      </w:r>
    </w:p>
    <w:p w14:paraId="6C82CE02" w14:textId="77777777" w:rsidR="002243C1" w:rsidRDefault="002243C1" w:rsidP="00153550">
      <w:pPr>
        <w:spacing w:after="0" w:line="240" w:lineRule="auto"/>
        <w:contextualSpacing/>
        <w:jc w:val="both"/>
        <w:rPr>
          <w:rFonts w:asciiTheme="majorHAnsi" w:hAnsiTheme="majorHAnsi"/>
          <w:sz w:val="24"/>
          <w:szCs w:val="24"/>
        </w:rPr>
      </w:pPr>
    </w:p>
    <w:p w14:paraId="71260A5A" w14:textId="77777777" w:rsidR="00A16FB6" w:rsidRDefault="00CA684D" w:rsidP="00870B6A">
      <w:pPr>
        <w:spacing w:after="0" w:line="240" w:lineRule="auto"/>
        <w:contextualSpacing/>
        <w:jc w:val="both"/>
        <w:rPr>
          <w:rFonts w:asciiTheme="majorHAnsi" w:hAnsiTheme="majorHAnsi"/>
          <w:sz w:val="24"/>
          <w:szCs w:val="24"/>
        </w:rPr>
      </w:pPr>
      <w:r>
        <w:rPr>
          <w:rFonts w:asciiTheme="majorHAnsi" w:hAnsiTheme="majorHAnsi"/>
          <w:sz w:val="24"/>
          <w:szCs w:val="24"/>
        </w:rPr>
        <w:t>Establishing a</w:t>
      </w:r>
      <w:r w:rsidR="00153550">
        <w:rPr>
          <w:rFonts w:asciiTheme="majorHAnsi" w:hAnsiTheme="majorHAnsi"/>
          <w:sz w:val="24"/>
          <w:szCs w:val="24"/>
        </w:rPr>
        <w:t xml:space="preserve"> curriculum of common courses for common purposes </w:t>
      </w:r>
      <w:r>
        <w:rPr>
          <w:rFonts w:asciiTheme="majorHAnsi" w:hAnsiTheme="majorHAnsi"/>
          <w:sz w:val="24"/>
          <w:szCs w:val="24"/>
        </w:rPr>
        <w:t xml:space="preserve">in a common language </w:t>
      </w:r>
      <w:r w:rsidR="00153550">
        <w:rPr>
          <w:rFonts w:asciiTheme="majorHAnsi" w:hAnsiTheme="majorHAnsi"/>
          <w:sz w:val="24"/>
          <w:szCs w:val="24"/>
        </w:rPr>
        <w:t xml:space="preserve">and mechanisms for assuring its quality </w:t>
      </w:r>
      <w:r>
        <w:rPr>
          <w:rFonts w:asciiTheme="majorHAnsi" w:hAnsiTheme="majorHAnsi"/>
          <w:sz w:val="24"/>
          <w:szCs w:val="24"/>
        </w:rPr>
        <w:t>provides a firm basis to consider</w:t>
      </w:r>
      <w:r w:rsidR="00153550">
        <w:rPr>
          <w:rFonts w:asciiTheme="majorHAnsi" w:hAnsiTheme="majorHAnsi"/>
          <w:sz w:val="24"/>
          <w:szCs w:val="24"/>
        </w:rPr>
        <w:t xml:space="preserve"> </w:t>
      </w:r>
      <w:r>
        <w:rPr>
          <w:rFonts w:asciiTheme="majorHAnsi" w:hAnsiTheme="majorHAnsi"/>
          <w:sz w:val="24"/>
          <w:szCs w:val="24"/>
        </w:rPr>
        <w:t xml:space="preserve">how its cooperative delivery can be implemented.  </w:t>
      </w:r>
      <w:r w:rsidR="00EA4198">
        <w:rPr>
          <w:rFonts w:asciiTheme="majorHAnsi" w:hAnsiTheme="majorHAnsi"/>
          <w:sz w:val="24"/>
          <w:szCs w:val="24"/>
        </w:rPr>
        <w:t>We consider three</w:t>
      </w:r>
      <w:r w:rsidR="007663D3">
        <w:rPr>
          <w:rFonts w:asciiTheme="majorHAnsi" w:hAnsiTheme="majorHAnsi"/>
          <w:sz w:val="24"/>
          <w:szCs w:val="24"/>
        </w:rPr>
        <w:t>: a Nordic Defence College, standardization of exis</w:t>
      </w:r>
      <w:r w:rsidR="00C3053D">
        <w:rPr>
          <w:rFonts w:asciiTheme="majorHAnsi" w:hAnsiTheme="majorHAnsi"/>
          <w:sz w:val="24"/>
          <w:szCs w:val="24"/>
        </w:rPr>
        <w:t xml:space="preserve">ting command and staff courses, </w:t>
      </w:r>
      <w:r w:rsidR="00EA4198">
        <w:rPr>
          <w:rFonts w:asciiTheme="majorHAnsi" w:hAnsiTheme="majorHAnsi"/>
          <w:sz w:val="24"/>
          <w:szCs w:val="24"/>
        </w:rPr>
        <w:t>and limited standardization of command and staff curricula around</w:t>
      </w:r>
      <w:r w:rsidR="00A42319">
        <w:rPr>
          <w:rFonts w:asciiTheme="majorHAnsi" w:hAnsiTheme="majorHAnsi"/>
          <w:sz w:val="24"/>
          <w:szCs w:val="24"/>
        </w:rPr>
        <w:t xml:space="preserve"> a core of </w:t>
      </w:r>
      <w:r w:rsidR="00C3053D">
        <w:rPr>
          <w:rFonts w:asciiTheme="majorHAnsi" w:hAnsiTheme="majorHAnsi"/>
          <w:sz w:val="24"/>
          <w:szCs w:val="24"/>
        </w:rPr>
        <w:t>common courses for common purposes</w:t>
      </w:r>
      <w:r w:rsidR="007663D3">
        <w:rPr>
          <w:rFonts w:asciiTheme="majorHAnsi" w:hAnsiTheme="majorHAnsi"/>
          <w:sz w:val="24"/>
          <w:szCs w:val="24"/>
        </w:rPr>
        <w:t xml:space="preserve">.  Each option is based on common courses for common purposes in a common language.  </w:t>
      </w:r>
      <w:r w:rsidR="004A2A39">
        <w:rPr>
          <w:rFonts w:asciiTheme="majorHAnsi" w:hAnsiTheme="majorHAnsi"/>
          <w:sz w:val="24"/>
          <w:szCs w:val="24"/>
        </w:rPr>
        <w:t>They vary with regard to the degree that the entire curriculum of Nordic command and staff courses are common in content, delivery, and accreditation.  They also vary in their potential to promote officer exchanges.  Despite such variance, e</w:t>
      </w:r>
      <w:r w:rsidR="007663D3">
        <w:rPr>
          <w:rFonts w:asciiTheme="majorHAnsi" w:hAnsiTheme="majorHAnsi"/>
          <w:sz w:val="24"/>
          <w:szCs w:val="24"/>
        </w:rPr>
        <w:t xml:space="preserve">ach requires increased cooperation amongst NORDEFCO members and </w:t>
      </w:r>
      <w:r w:rsidR="0017085E">
        <w:rPr>
          <w:rFonts w:asciiTheme="majorHAnsi" w:hAnsiTheme="majorHAnsi"/>
          <w:sz w:val="24"/>
          <w:szCs w:val="24"/>
        </w:rPr>
        <w:t>present different challenges to be overcome</w:t>
      </w:r>
      <w:r w:rsidR="007663D3">
        <w:rPr>
          <w:rFonts w:asciiTheme="majorHAnsi" w:hAnsiTheme="majorHAnsi"/>
          <w:sz w:val="24"/>
          <w:szCs w:val="24"/>
        </w:rPr>
        <w:t>.</w:t>
      </w:r>
      <w:r w:rsidR="00A16FB6">
        <w:rPr>
          <w:rFonts w:asciiTheme="majorHAnsi" w:hAnsiTheme="majorHAnsi"/>
          <w:sz w:val="24"/>
          <w:szCs w:val="24"/>
        </w:rPr>
        <w:t xml:space="preserve">  </w:t>
      </w:r>
    </w:p>
    <w:p w14:paraId="5B6800A0" w14:textId="77777777" w:rsidR="007663D3" w:rsidRDefault="007663D3" w:rsidP="00870B6A">
      <w:pPr>
        <w:spacing w:after="0" w:line="240" w:lineRule="auto"/>
        <w:contextualSpacing/>
        <w:jc w:val="both"/>
        <w:rPr>
          <w:rFonts w:asciiTheme="majorHAnsi" w:hAnsiTheme="majorHAnsi"/>
          <w:sz w:val="24"/>
          <w:szCs w:val="24"/>
        </w:rPr>
      </w:pPr>
    </w:p>
    <w:p w14:paraId="3FECE38D" w14:textId="77777777" w:rsidR="00F35B8B" w:rsidRDefault="00F35B8B"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The first option is a Nordic Defence College that would supplement or supplant the existing </w:t>
      </w:r>
      <w:r w:rsidR="00EA7734">
        <w:rPr>
          <w:rFonts w:asciiTheme="majorHAnsi" w:hAnsiTheme="majorHAnsi"/>
          <w:sz w:val="24"/>
          <w:szCs w:val="24"/>
        </w:rPr>
        <w:t>command and staff schools</w:t>
      </w:r>
      <w:r>
        <w:rPr>
          <w:rFonts w:asciiTheme="majorHAnsi" w:hAnsiTheme="majorHAnsi"/>
          <w:sz w:val="24"/>
          <w:szCs w:val="24"/>
        </w:rPr>
        <w:t xml:space="preserve"> in the Nordic states.  A NORDEFCOL would </w:t>
      </w:r>
      <w:r w:rsidR="00454172">
        <w:rPr>
          <w:rFonts w:asciiTheme="majorHAnsi" w:hAnsiTheme="majorHAnsi"/>
          <w:sz w:val="24"/>
          <w:szCs w:val="24"/>
        </w:rPr>
        <w:t>consist entirely of</w:t>
      </w:r>
      <w:r>
        <w:rPr>
          <w:rFonts w:asciiTheme="majorHAnsi" w:hAnsiTheme="majorHAnsi"/>
          <w:sz w:val="24"/>
          <w:szCs w:val="24"/>
        </w:rPr>
        <w:t xml:space="preserve"> common courses for common purposes, would use English as the language of instruction, </w:t>
      </w:r>
      <w:r w:rsidR="00454172">
        <w:rPr>
          <w:rFonts w:asciiTheme="majorHAnsi" w:hAnsiTheme="majorHAnsi"/>
          <w:sz w:val="24"/>
          <w:szCs w:val="24"/>
        </w:rPr>
        <w:t xml:space="preserve">and </w:t>
      </w:r>
      <w:r w:rsidR="00246F5E">
        <w:rPr>
          <w:rFonts w:asciiTheme="majorHAnsi" w:hAnsiTheme="majorHAnsi"/>
          <w:sz w:val="24"/>
          <w:szCs w:val="24"/>
        </w:rPr>
        <w:t xml:space="preserve">would necessarily be governed by a committee of participating states that would provide guidance with regard to curriculum content, accredit the course of study, and assure its continued quality through monitoring and evaluation.  Beyond this, a NORDEFCOL would </w:t>
      </w:r>
      <w:r>
        <w:rPr>
          <w:rFonts w:asciiTheme="majorHAnsi" w:hAnsiTheme="majorHAnsi"/>
          <w:sz w:val="24"/>
          <w:szCs w:val="24"/>
        </w:rPr>
        <w:t>necessarily have a large number of slots a</w:t>
      </w:r>
      <w:r w:rsidR="00246F5E">
        <w:rPr>
          <w:rFonts w:asciiTheme="majorHAnsi" w:hAnsiTheme="majorHAnsi"/>
          <w:sz w:val="24"/>
          <w:szCs w:val="24"/>
        </w:rPr>
        <w:t>vailable to “foreign” officers and common entrance standards would be required to ensure that performance standards could be uniform and rigorous.  T</w:t>
      </w:r>
      <w:r>
        <w:rPr>
          <w:rFonts w:asciiTheme="majorHAnsi" w:hAnsiTheme="majorHAnsi"/>
          <w:sz w:val="24"/>
          <w:szCs w:val="24"/>
        </w:rPr>
        <w:t xml:space="preserve">he selection of officers to attend </w:t>
      </w:r>
      <w:r w:rsidR="00246F5E">
        <w:rPr>
          <w:rFonts w:asciiTheme="majorHAnsi" w:hAnsiTheme="majorHAnsi"/>
          <w:sz w:val="24"/>
          <w:szCs w:val="24"/>
        </w:rPr>
        <w:t xml:space="preserve">also </w:t>
      </w:r>
      <w:r>
        <w:rPr>
          <w:rFonts w:asciiTheme="majorHAnsi" w:hAnsiTheme="majorHAnsi"/>
          <w:sz w:val="24"/>
          <w:szCs w:val="24"/>
        </w:rPr>
        <w:t>would be explicitly managed through an exchange scheme to ensure equity</w:t>
      </w:r>
      <w:r w:rsidR="00246F5E">
        <w:rPr>
          <w:rFonts w:asciiTheme="majorHAnsi" w:hAnsiTheme="majorHAnsi"/>
          <w:sz w:val="24"/>
          <w:szCs w:val="24"/>
        </w:rPr>
        <w:t xml:space="preserve">. </w:t>
      </w:r>
      <w:r>
        <w:rPr>
          <w:rFonts w:asciiTheme="majorHAnsi" w:hAnsiTheme="majorHAnsi"/>
          <w:sz w:val="24"/>
          <w:szCs w:val="24"/>
        </w:rPr>
        <w:t>The result would be something like the Baltic Defence College on a grander scale.</w:t>
      </w:r>
      <w:r w:rsidR="00EA7734">
        <w:rPr>
          <w:rStyle w:val="FootnoteReference"/>
          <w:rFonts w:asciiTheme="majorHAnsi" w:hAnsiTheme="majorHAnsi"/>
          <w:sz w:val="24"/>
          <w:szCs w:val="24"/>
        </w:rPr>
        <w:footnoteReference w:id="41"/>
      </w:r>
      <w:r w:rsidR="00246F5E">
        <w:rPr>
          <w:rFonts w:asciiTheme="majorHAnsi" w:hAnsiTheme="majorHAnsi"/>
          <w:sz w:val="24"/>
          <w:szCs w:val="24"/>
        </w:rPr>
        <w:t xml:space="preserve"> </w:t>
      </w:r>
    </w:p>
    <w:p w14:paraId="7DE26180" w14:textId="77777777" w:rsidR="00F35B8B" w:rsidRDefault="00F35B8B" w:rsidP="00870B6A">
      <w:pPr>
        <w:spacing w:after="0" w:line="240" w:lineRule="auto"/>
        <w:contextualSpacing/>
        <w:jc w:val="both"/>
        <w:rPr>
          <w:rFonts w:asciiTheme="majorHAnsi" w:hAnsiTheme="majorHAnsi"/>
          <w:sz w:val="24"/>
          <w:szCs w:val="24"/>
        </w:rPr>
      </w:pPr>
    </w:p>
    <w:p w14:paraId="70C35E10" w14:textId="77777777" w:rsidR="00F35B8B" w:rsidRPr="00897067" w:rsidRDefault="00F35B8B" w:rsidP="00870B6A">
      <w:pPr>
        <w:spacing w:after="0" w:line="240" w:lineRule="auto"/>
        <w:contextualSpacing/>
        <w:jc w:val="both"/>
        <w:rPr>
          <w:rFonts w:ascii="Cambria" w:hAnsi="Cambria"/>
          <w:sz w:val="24"/>
          <w:szCs w:val="24"/>
        </w:rPr>
      </w:pPr>
      <w:r>
        <w:rPr>
          <w:rFonts w:asciiTheme="majorHAnsi" w:hAnsiTheme="majorHAnsi"/>
          <w:sz w:val="24"/>
          <w:szCs w:val="24"/>
        </w:rPr>
        <w:t xml:space="preserve">The second option is the standardization of existing command and staff courses across the Nordic region in content, time, and length.  </w:t>
      </w:r>
      <w:r w:rsidR="00246F5E">
        <w:rPr>
          <w:rFonts w:asciiTheme="majorHAnsi" w:hAnsiTheme="majorHAnsi"/>
          <w:sz w:val="24"/>
          <w:szCs w:val="24"/>
        </w:rPr>
        <w:t xml:space="preserve">This would be a NORDEFCOL-like education with the curriculum delivered in national schoolhouses.  </w:t>
      </w:r>
      <w:r w:rsidR="00897067">
        <w:rPr>
          <w:rFonts w:ascii="Cambria" w:hAnsi="Cambria"/>
          <w:sz w:val="24"/>
          <w:szCs w:val="24"/>
        </w:rPr>
        <w:t xml:space="preserve">A common curriculum delivered by each existing command and </w:t>
      </w:r>
      <w:proofErr w:type="gramStart"/>
      <w:r w:rsidR="00897067">
        <w:rPr>
          <w:rFonts w:ascii="Cambria" w:hAnsi="Cambria"/>
          <w:sz w:val="24"/>
          <w:szCs w:val="24"/>
        </w:rPr>
        <w:t>staff college</w:t>
      </w:r>
      <w:proofErr w:type="gramEnd"/>
      <w:r w:rsidR="00897067">
        <w:rPr>
          <w:rFonts w:ascii="Cambria" w:hAnsi="Cambria"/>
          <w:sz w:val="24"/>
          <w:szCs w:val="24"/>
        </w:rPr>
        <w:t xml:space="preserve"> would require each institution to change its curriculum and working language wholesale.  </w:t>
      </w:r>
      <w:r w:rsidR="006D721B">
        <w:rPr>
          <w:rFonts w:asciiTheme="majorHAnsi" w:hAnsiTheme="majorHAnsi"/>
          <w:sz w:val="24"/>
          <w:szCs w:val="24"/>
        </w:rPr>
        <w:t xml:space="preserve">Decentralized delivery of a common curriculum would require extensive curriculum guidance, separate accreditation of the course of study in each country’s schoolhouse, and consistent monitoring and evaluation to assure its continued quality.  Deeper cooperation could be enabled through synchronous scheduling </w:t>
      </w:r>
      <w:r w:rsidR="00EA7734">
        <w:rPr>
          <w:rFonts w:asciiTheme="majorHAnsi" w:hAnsiTheme="majorHAnsi"/>
          <w:sz w:val="24"/>
          <w:szCs w:val="24"/>
        </w:rPr>
        <w:t xml:space="preserve">of the academic year </w:t>
      </w:r>
      <w:r w:rsidR="006D721B">
        <w:rPr>
          <w:rFonts w:asciiTheme="majorHAnsi" w:hAnsiTheme="majorHAnsi"/>
          <w:sz w:val="24"/>
          <w:szCs w:val="24"/>
        </w:rPr>
        <w:t>that</w:t>
      </w:r>
      <w:r>
        <w:rPr>
          <w:rFonts w:asciiTheme="majorHAnsi" w:hAnsiTheme="majorHAnsi"/>
          <w:sz w:val="24"/>
          <w:szCs w:val="24"/>
        </w:rPr>
        <w:t xml:space="preserve"> </w:t>
      </w:r>
      <w:r w:rsidR="006D721B">
        <w:rPr>
          <w:rFonts w:asciiTheme="majorHAnsi" w:hAnsiTheme="majorHAnsi"/>
          <w:sz w:val="24"/>
          <w:szCs w:val="24"/>
        </w:rPr>
        <w:t xml:space="preserve">would enable </w:t>
      </w:r>
      <w:r>
        <w:rPr>
          <w:rFonts w:asciiTheme="majorHAnsi" w:hAnsiTheme="majorHAnsi"/>
          <w:sz w:val="24"/>
          <w:szCs w:val="24"/>
        </w:rPr>
        <w:t>foreign officer participation</w:t>
      </w:r>
      <w:r w:rsidR="00EA4198">
        <w:rPr>
          <w:rFonts w:asciiTheme="majorHAnsi" w:hAnsiTheme="majorHAnsi"/>
          <w:sz w:val="24"/>
          <w:szCs w:val="24"/>
        </w:rPr>
        <w:t>, although this need not occur</w:t>
      </w:r>
      <w:r w:rsidR="006D721B">
        <w:rPr>
          <w:rFonts w:asciiTheme="majorHAnsi" w:hAnsiTheme="majorHAnsi"/>
          <w:sz w:val="24"/>
          <w:szCs w:val="24"/>
        </w:rPr>
        <w:t xml:space="preserve">. </w:t>
      </w:r>
      <w:r>
        <w:rPr>
          <w:rFonts w:asciiTheme="majorHAnsi" w:hAnsiTheme="majorHAnsi"/>
          <w:sz w:val="24"/>
          <w:szCs w:val="24"/>
        </w:rPr>
        <w:t xml:space="preserve"> </w:t>
      </w:r>
      <w:r w:rsidR="00BE36E3">
        <w:rPr>
          <w:rFonts w:asciiTheme="majorHAnsi" w:hAnsiTheme="majorHAnsi"/>
          <w:sz w:val="24"/>
          <w:szCs w:val="24"/>
        </w:rPr>
        <w:t>Entrance requirements could remain national, although t</w:t>
      </w:r>
      <w:r w:rsidR="00EA4198">
        <w:rPr>
          <w:rFonts w:asciiTheme="majorHAnsi" w:hAnsiTheme="majorHAnsi"/>
          <w:sz w:val="24"/>
          <w:szCs w:val="24"/>
        </w:rPr>
        <w:t xml:space="preserve">he greater the number of officer exchanges, the more likely that common entrance standards would be required to ensure quality and rigor.  </w:t>
      </w:r>
      <w:r>
        <w:rPr>
          <w:rFonts w:asciiTheme="majorHAnsi" w:hAnsiTheme="majorHAnsi"/>
          <w:sz w:val="24"/>
          <w:szCs w:val="24"/>
        </w:rPr>
        <w:t>The result would be something like the American system of Joint Professional Military Education across the four services.</w:t>
      </w:r>
    </w:p>
    <w:p w14:paraId="11FC81AE" w14:textId="77777777" w:rsidR="00F35B8B" w:rsidRDefault="00F35B8B" w:rsidP="00870B6A">
      <w:pPr>
        <w:spacing w:after="0" w:line="240" w:lineRule="auto"/>
        <w:contextualSpacing/>
        <w:jc w:val="both"/>
        <w:rPr>
          <w:rFonts w:asciiTheme="majorHAnsi" w:hAnsiTheme="majorHAnsi"/>
          <w:sz w:val="24"/>
          <w:szCs w:val="24"/>
        </w:rPr>
      </w:pPr>
    </w:p>
    <w:p w14:paraId="1F07990D" w14:textId="77777777" w:rsidR="00F35B8B" w:rsidRDefault="00F35B8B"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The third option is </w:t>
      </w:r>
      <w:r w:rsidR="00EA4198">
        <w:rPr>
          <w:rFonts w:asciiTheme="majorHAnsi" w:hAnsiTheme="majorHAnsi"/>
          <w:sz w:val="24"/>
          <w:szCs w:val="24"/>
        </w:rPr>
        <w:t>a</w:t>
      </w:r>
      <w:r w:rsidR="00261E79">
        <w:rPr>
          <w:rFonts w:asciiTheme="majorHAnsi" w:hAnsiTheme="majorHAnsi"/>
          <w:sz w:val="24"/>
          <w:szCs w:val="24"/>
        </w:rPr>
        <w:t xml:space="preserve"> common </w:t>
      </w:r>
      <w:r w:rsidR="00EA4198">
        <w:rPr>
          <w:rFonts w:asciiTheme="majorHAnsi" w:hAnsiTheme="majorHAnsi"/>
          <w:sz w:val="24"/>
          <w:szCs w:val="24"/>
        </w:rPr>
        <w:t xml:space="preserve">core </w:t>
      </w:r>
      <w:r w:rsidR="00261E79">
        <w:rPr>
          <w:rFonts w:asciiTheme="majorHAnsi" w:hAnsiTheme="majorHAnsi"/>
          <w:sz w:val="24"/>
          <w:szCs w:val="24"/>
        </w:rPr>
        <w:t xml:space="preserve">curriculum offered in the context of national command and staff courses.  </w:t>
      </w:r>
      <w:r w:rsidR="00C54DA4">
        <w:rPr>
          <w:rFonts w:asciiTheme="majorHAnsi" w:hAnsiTheme="majorHAnsi"/>
          <w:sz w:val="24"/>
          <w:szCs w:val="24"/>
        </w:rPr>
        <w:t>C</w:t>
      </w:r>
      <w:r>
        <w:rPr>
          <w:rFonts w:asciiTheme="majorHAnsi" w:hAnsiTheme="majorHAnsi"/>
          <w:sz w:val="24"/>
          <w:szCs w:val="24"/>
        </w:rPr>
        <w:t xml:space="preserve">ommon courses for common purposes taught in English would be developed and offered across the command and staff colleges.  </w:t>
      </w:r>
      <w:r w:rsidR="00EA7734">
        <w:rPr>
          <w:rFonts w:asciiTheme="majorHAnsi" w:hAnsiTheme="majorHAnsi"/>
          <w:sz w:val="24"/>
          <w:szCs w:val="24"/>
        </w:rPr>
        <w:t>A committee of participating states would govern accreditation, monitoring, and evaluation of core courses</w:t>
      </w:r>
      <w:r w:rsidR="00C54DA4">
        <w:rPr>
          <w:rFonts w:asciiTheme="majorHAnsi" w:hAnsiTheme="majorHAnsi"/>
          <w:sz w:val="24"/>
          <w:szCs w:val="24"/>
        </w:rPr>
        <w:t>.</w:t>
      </w:r>
      <w:r w:rsidR="00EA7734">
        <w:rPr>
          <w:rFonts w:asciiTheme="majorHAnsi" w:hAnsiTheme="majorHAnsi"/>
          <w:sz w:val="24"/>
          <w:szCs w:val="24"/>
        </w:rPr>
        <w:t xml:space="preserve"> </w:t>
      </w:r>
      <w:r w:rsidR="00C54DA4">
        <w:rPr>
          <w:rFonts w:asciiTheme="majorHAnsi" w:hAnsiTheme="majorHAnsi"/>
          <w:sz w:val="24"/>
          <w:szCs w:val="24"/>
        </w:rPr>
        <w:t xml:space="preserve"> </w:t>
      </w:r>
      <w:r>
        <w:rPr>
          <w:rFonts w:asciiTheme="majorHAnsi" w:hAnsiTheme="majorHAnsi"/>
          <w:sz w:val="24"/>
          <w:szCs w:val="24"/>
        </w:rPr>
        <w:t>Other courses—national courses for national purposes—could remain as such</w:t>
      </w:r>
      <w:r w:rsidR="00C54DA4">
        <w:rPr>
          <w:rFonts w:asciiTheme="majorHAnsi" w:hAnsiTheme="majorHAnsi"/>
          <w:sz w:val="24"/>
          <w:szCs w:val="24"/>
        </w:rPr>
        <w:t>, accredited and governed by national authorities</w:t>
      </w:r>
      <w:r>
        <w:rPr>
          <w:rFonts w:asciiTheme="majorHAnsi" w:hAnsiTheme="majorHAnsi"/>
          <w:sz w:val="24"/>
          <w:szCs w:val="24"/>
        </w:rPr>
        <w:t xml:space="preserve">.  </w:t>
      </w:r>
      <w:r w:rsidR="00BE36E3">
        <w:rPr>
          <w:rFonts w:asciiTheme="majorHAnsi" w:hAnsiTheme="majorHAnsi"/>
          <w:sz w:val="24"/>
          <w:szCs w:val="24"/>
        </w:rPr>
        <w:t>Entrance requirements could remain national</w:t>
      </w:r>
      <w:r w:rsidR="00FB30F0">
        <w:rPr>
          <w:rFonts w:asciiTheme="majorHAnsi" w:hAnsiTheme="majorHAnsi"/>
          <w:sz w:val="24"/>
          <w:szCs w:val="24"/>
        </w:rPr>
        <w:t>.  Academic calendars could be synchronized to facilitate</w:t>
      </w:r>
      <w:r w:rsidR="00BE36E3">
        <w:rPr>
          <w:rFonts w:asciiTheme="majorHAnsi" w:hAnsiTheme="majorHAnsi"/>
          <w:sz w:val="24"/>
          <w:szCs w:val="24"/>
        </w:rPr>
        <w:t xml:space="preserve"> t</w:t>
      </w:r>
      <w:r>
        <w:rPr>
          <w:rFonts w:asciiTheme="majorHAnsi" w:hAnsiTheme="majorHAnsi"/>
          <w:sz w:val="24"/>
          <w:szCs w:val="24"/>
        </w:rPr>
        <w:t>he exchange of students within a coordinated scheme that could allocate slots across the nations according to a common formula</w:t>
      </w:r>
      <w:r w:rsidR="00EA4198">
        <w:rPr>
          <w:rFonts w:asciiTheme="majorHAnsi" w:hAnsiTheme="majorHAnsi"/>
          <w:sz w:val="24"/>
          <w:szCs w:val="24"/>
        </w:rPr>
        <w:t xml:space="preserve"> and</w:t>
      </w:r>
      <w:r w:rsidR="007A6020">
        <w:rPr>
          <w:rFonts w:asciiTheme="majorHAnsi" w:hAnsiTheme="majorHAnsi"/>
          <w:sz w:val="24"/>
          <w:szCs w:val="24"/>
        </w:rPr>
        <w:t xml:space="preserve"> imposing </w:t>
      </w:r>
      <w:r w:rsidR="00EA4198">
        <w:rPr>
          <w:rFonts w:asciiTheme="majorHAnsi" w:hAnsiTheme="majorHAnsi"/>
          <w:sz w:val="24"/>
          <w:szCs w:val="24"/>
        </w:rPr>
        <w:t xml:space="preserve">common entrance requirements and </w:t>
      </w:r>
      <w:r w:rsidR="007A6020">
        <w:rPr>
          <w:rFonts w:asciiTheme="majorHAnsi" w:hAnsiTheme="majorHAnsi"/>
          <w:sz w:val="24"/>
          <w:szCs w:val="24"/>
        </w:rPr>
        <w:t>a cap for maximum participation in the name of equity</w:t>
      </w:r>
      <w:r>
        <w:rPr>
          <w:rFonts w:asciiTheme="majorHAnsi" w:hAnsiTheme="majorHAnsi"/>
          <w:sz w:val="24"/>
          <w:szCs w:val="24"/>
        </w:rPr>
        <w:t xml:space="preserve">. The result would be something like the Combined Joint Exercise (CJEX) filtered through the </w:t>
      </w:r>
      <w:r w:rsidR="00EA7734">
        <w:rPr>
          <w:rFonts w:asciiTheme="majorHAnsi" w:hAnsiTheme="majorHAnsi"/>
          <w:sz w:val="24"/>
          <w:szCs w:val="24"/>
        </w:rPr>
        <w:t>core</w:t>
      </w:r>
      <w:r>
        <w:rPr>
          <w:rFonts w:asciiTheme="majorHAnsi" w:hAnsiTheme="majorHAnsi"/>
          <w:sz w:val="24"/>
          <w:szCs w:val="24"/>
        </w:rPr>
        <w:t xml:space="preserve"> of the command and staff curriculum.</w:t>
      </w:r>
      <w:r>
        <w:rPr>
          <w:rStyle w:val="FootnoteReference"/>
          <w:rFonts w:asciiTheme="majorHAnsi" w:hAnsiTheme="majorHAnsi"/>
          <w:sz w:val="24"/>
          <w:szCs w:val="24"/>
        </w:rPr>
        <w:footnoteReference w:id="42"/>
      </w:r>
    </w:p>
    <w:p w14:paraId="01873AFA" w14:textId="77777777" w:rsidR="00F35B8B" w:rsidRDefault="00F35B8B" w:rsidP="00870B6A">
      <w:pPr>
        <w:spacing w:after="0" w:line="240" w:lineRule="auto"/>
        <w:contextualSpacing/>
        <w:jc w:val="both"/>
        <w:rPr>
          <w:rFonts w:asciiTheme="majorHAnsi" w:hAnsiTheme="majorHAnsi"/>
          <w:sz w:val="24"/>
          <w:szCs w:val="24"/>
        </w:rPr>
      </w:pPr>
    </w:p>
    <w:p w14:paraId="3BEE4596" w14:textId="77777777" w:rsidR="00774A82" w:rsidRDefault="00DA64C3" w:rsidP="00870B6A">
      <w:pPr>
        <w:spacing w:after="0" w:line="240" w:lineRule="auto"/>
        <w:contextualSpacing/>
        <w:jc w:val="both"/>
        <w:rPr>
          <w:rFonts w:asciiTheme="majorHAnsi" w:hAnsiTheme="majorHAnsi"/>
          <w:sz w:val="24"/>
          <w:szCs w:val="24"/>
        </w:rPr>
      </w:pPr>
      <w:r>
        <w:rPr>
          <w:rFonts w:asciiTheme="majorHAnsi" w:hAnsiTheme="majorHAnsi"/>
          <w:sz w:val="24"/>
          <w:szCs w:val="24"/>
        </w:rPr>
        <w:t>These three</w:t>
      </w:r>
      <w:r w:rsidR="004506ED">
        <w:rPr>
          <w:rFonts w:asciiTheme="majorHAnsi" w:hAnsiTheme="majorHAnsi"/>
          <w:sz w:val="24"/>
          <w:szCs w:val="24"/>
        </w:rPr>
        <w:t xml:space="preserve"> alternatives </w:t>
      </w:r>
      <w:r w:rsidR="00EA7734">
        <w:rPr>
          <w:rFonts w:asciiTheme="majorHAnsi" w:hAnsiTheme="majorHAnsi"/>
          <w:sz w:val="24"/>
          <w:szCs w:val="24"/>
        </w:rPr>
        <w:t>are</w:t>
      </w:r>
      <w:r w:rsidR="004506ED">
        <w:rPr>
          <w:rFonts w:asciiTheme="majorHAnsi" w:hAnsiTheme="majorHAnsi"/>
          <w:sz w:val="24"/>
          <w:szCs w:val="24"/>
        </w:rPr>
        <w:t xml:space="preserve"> </w:t>
      </w:r>
      <w:r w:rsidR="00E32616">
        <w:rPr>
          <w:rFonts w:asciiTheme="majorHAnsi" w:hAnsiTheme="majorHAnsi"/>
          <w:sz w:val="24"/>
          <w:szCs w:val="24"/>
        </w:rPr>
        <w:t>summarized</w:t>
      </w:r>
      <w:r w:rsidR="004506ED">
        <w:rPr>
          <w:rFonts w:asciiTheme="majorHAnsi" w:hAnsiTheme="majorHAnsi"/>
          <w:sz w:val="24"/>
          <w:szCs w:val="24"/>
        </w:rPr>
        <w:t xml:space="preserve"> in the following table.</w:t>
      </w:r>
    </w:p>
    <w:p w14:paraId="3EF0713F" w14:textId="77777777" w:rsidR="004446C7" w:rsidRDefault="004446C7" w:rsidP="00870B6A">
      <w:pPr>
        <w:spacing w:after="0" w:line="240" w:lineRule="auto"/>
        <w:contextualSpacing/>
        <w:jc w:val="both"/>
        <w:rPr>
          <w:rFonts w:asciiTheme="majorHAnsi" w:hAnsiTheme="majorHAnsi"/>
          <w:sz w:val="24"/>
          <w:szCs w:val="24"/>
        </w:rPr>
      </w:pPr>
    </w:p>
    <w:tbl>
      <w:tblPr>
        <w:tblStyle w:val="MediumGrid3-Accent5"/>
        <w:tblW w:w="5000" w:type="pct"/>
        <w:tblLook w:val="04A0" w:firstRow="1" w:lastRow="0" w:firstColumn="1" w:lastColumn="0" w:noHBand="0" w:noVBand="1"/>
      </w:tblPr>
      <w:tblGrid>
        <w:gridCol w:w="2296"/>
        <w:gridCol w:w="2294"/>
        <w:gridCol w:w="2364"/>
        <w:gridCol w:w="2288"/>
      </w:tblGrid>
      <w:tr w:rsidR="00BE36E3" w:rsidRPr="007255B8" w14:paraId="7E426E70" w14:textId="77777777" w:rsidTr="00BE3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9355674" w14:textId="77777777" w:rsidR="00BE36E3" w:rsidRDefault="004446C7" w:rsidP="00BE36E3">
            <w:pPr>
              <w:spacing w:after="0" w:line="240" w:lineRule="auto"/>
              <w:contextualSpacing/>
              <w:jc w:val="center"/>
              <w:rPr>
                <w:rFonts w:asciiTheme="minorHAnsi" w:hAnsiTheme="minorHAnsi" w:cstheme="minorHAnsi"/>
                <w:b w:val="0"/>
                <w:sz w:val="20"/>
                <w:szCs w:val="20"/>
              </w:rPr>
            </w:pPr>
            <w:r>
              <w:rPr>
                <w:rFonts w:asciiTheme="minorHAnsi" w:hAnsiTheme="minorHAnsi" w:cstheme="minorHAnsi"/>
                <w:b w:val="0"/>
                <w:sz w:val="24"/>
                <w:szCs w:val="24"/>
              </w:rPr>
              <w:t xml:space="preserve">Table 1: </w:t>
            </w:r>
            <w:r w:rsidR="00BE36E3" w:rsidRPr="007255B8">
              <w:rPr>
                <w:rFonts w:asciiTheme="minorHAnsi" w:hAnsiTheme="minorHAnsi" w:cstheme="minorHAnsi"/>
                <w:b w:val="0"/>
                <w:sz w:val="24"/>
                <w:szCs w:val="24"/>
              </w:rPr>
              <w:t>Possible Institutional Expressions of Nordic PME Cooperation</w:t>
            </w:r>
          </w:p>
        </w:tc>
      </w:tr>
      <w:tr w:rsidR="00BE36E3" w:rsidRPr="007255B8" w14:paraId="2890F6C9" w14:textId="77777777" w:rsidTr="00BE3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pct"/>
          </w:tcPr>
          <w:p w14:paraId="5593B7C5" w14:textId="77777777" w:rsidR="00BE36E3" w:rsidRPr="007A6020" w:rsidRDefault="00BE36E3" w:rsidP="00BE36E3">
            <w:pPr>
              <w:spacing w:after="0" w:line="240" w:lineRule="auto"/>
              <w:contextualSpacing/>
              <w:jc w:val="center"/>
              <w:rPr>
                <w:rFonts w:asciiTheme="majorHAnsi" w:hAnsiTheme="majorHAnsi"/>
                <w:sz w:val="20"/>
                <w:szCs w:val="20"/>
              </w:rPr>
            </w:pPr>
          </w:p>
        </w:tc>
        <w:tc>
          <w:tcPr>
            <w:tcW w:w="1241" w:type="pct"/>
            <w:shd w:val="clear" w:color="auto" w:fill="4BACC6" w:themeFill="accent5"/>
          </w:tcPr>
          <w:p w14:paraId="1EFDEECA" w14:textId="77777777" w:rsidR="00BE36E3" w:rsidRPr="00E862E6"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sidRPr="00E862E6">
              <w:rPr>
                <w:rFonts w:asciiTheme="minorHAnsi" w:hAnsiTheme="minorHAnsi" w:cstheme="minorHAnsi"/>
                <w:b/>
                <w:color w:val="FFFFFF" w:themeColor="background1"/>
                <w:sz w:val="20"/>
                <w:szCs w:val="20"/>
              </w:rPr>
              <w:t>NORDEFCOL</w:t>
            </w:r>
          </w:p>
        </w:tc>
        <w:tc>
          <w:tcPr>
            <w:tcW w:w="1279" w:type="pct"/>
            <w:shd w:val="clear" w:color="auto" w:fill="4BACC6" w:themeFill="accent5"/>
          </w:tcPr>
          <w:p w14:paraId="0EBE7648" w14:textId="77777777" w:rsidR="00BE36E3" w:rsidRPr="00E862E6"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sidRPr="00E862E6">
              <w:rPr>
                <w:rFonts w:asciiTheme="minorHAnsi" w:hAnsiTheme="minorHAnsi" w:cstheme="minorHAnsi"/>
                <w:b/>
                <w:color w:val="FFFFFF" w:themeColor="background1"/>
                <w:sz w:val="20"/>
                <w:szCs w:val="20"/>
              </w:rPr>
              <w:t>Standardization</w:t>
            </w:r>
          </w:p>
        </w:tc>
        <w:tc>
          <w:tcPr>
            <w:tcW w:w="1238" w:type="pct"/>
            <w:shd w:val="clear" w:color="auto" w:fill="4BACC6" w:themeFill="accent5"/>
          </w:tcPr>
          <w:p w14:paraId="3BCC52CB" w14:textId="77777777" w:rsidR="00BE36E3" w:rsidRPr="00E862E6"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Common Core</w:t>
            </w:r>
          </w:p>
        </w:tc>
      </w:tr>
      <w:tr w:rsidR="00BE36E3" w:rsidRPr="007255B8" w14:paraId="04D508D8" w14:textId="77777777" w:rsidTr="00BE36E3">
        <w:tc>
          <w:tcPr>
            <w:cnfStyle w:val="001000000000" w:firstRow="0" w:lastRow="0" w:firstColumn="1" w:lastColumn="0" w:oddVBand="0" w:evenVBand="0" w:oddHBand="0" w:evenHBand="0" w:firstRowFirstColumn="0" w:firstRowLastColumn="0" w:lastRowFirstColumn="0" w:lastRowLastColumn="0"/>
            <w:tcW w:w="1242" w:type="pct"/>
          </w:tcPr>
          <w:p w14:paraId="5C5849F8" w14:textId="77777777" w:rsidR="00BE36E3" w:rsidRPr="007255B8" w:rsidRDefault="00BE36E3" w:rsidP="00BE36E3">
            <w:pPr>
              <w:spacing w:after="0" w:line="240" w:lineRule="auto"/>
              <w:contextualSpacing/>
              <w:jc w:val="center"/>
              <w:rPr>
                <w:rFonts w:asciiTheme="minorHAnsi" w:hAnsiTheme="minorHAnsi" w:cstheme="minorHAnsi"/>
                <w:sz w:val="20"/>
                <w:szCs w:val="20"/>
              </w:rPr>
            </w:pPr>
            <w:r w:rsidRPr="007255B8">
              <w:rPr>
                <w:rFonts w:asciiTheme="minorHAnsi" w:hAnsiTheme="minorHAnsi" w:cstheme="minorHAnsi"/>
                <w:sz w:val="20"/>
                <w:szCs w:val="20"/>
              </w:rPr>
              <w:t>Common Courses</w:t>
            </w:r>
          </w:p>
        </w:tc>
        <w:tc>
          <w:tcPr>
            <w:tcW w:w="1241" w:type="pct"/>
          </w:tcPr>
          <w:p w14:paraId="421A9DD7" w14:textId="77777777" w:rsidR="00BE36E3" w:rsidRPr="007255B8" w:rsidRDefault="00BE36E3" w:rsidP="00BE36E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Entirely</w:t>
            </w:r>
          </w:p>
        </w:tc>
        <w:tc>
          <w:tcPr>
            <w:tcW w:w="1279" w:type="pct"/>
          </w:tcPr>
          <w:p w14:paraId="1226066B" w14:textId="77777777" w:rsidR="00BE36E3" w:rsidRPr="007255B8" w:rsidRDefault="00BE36E3" w:rsidP="00BE36E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Entirely</w:t>
            </w:r>
          </w:p>
        </w:tc>
        <w:tc>
          <w:tcPr>
            <w:tcW w:w="1238" w:type="pct"/>
          </w:tcPr>
          <w:p w14:paraId="57D0EB05" w14:textId="77777777" w:rsidR="00BE36E3" w:rsidRPr="007255B8" w:rsidRDefault="00BE36E3" w:rsidP="00BE36E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Partially</w:t>
            </w:r>
          </w:p>
        </w:tc>
      </w:tr>
      <w:tr w:rsidR="00BE36E3" w:rsidRPr="007255B8" w14:paraId="6BE06637" w14:textId="77777777" w:rsidTr="00BE3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pct"/>
          </w:tcPr>
          <w:p w14:paraId="7BC0FAC4" w14:textId="77777777" w:rsidR="00BE36E3" w:rsidRPr="007255B8" w:rsidRDefault="00BE36E3" w:rsidP="00BE36E3">
            <w:pPr>
              <w:spacing w:after="0" w:line="240" w:lineRule="auto"/>
              <w:contextualSpacing/>
              <w:jc w:val="center"/>
              <w:rPr>
                <w:rFonts w:asciiTheme="minorHAnsi" w:hAnsiTheme="minorHAnsi" w:cstheme="minorHAnsi"/>
                <w:sz w:val="20"/>
                <w:szCs w:val="20"/>
              </w:rPr>
            </w:pPr>
            <w:r w:rsidRPr="007255B8">
              <w:rPr>
                <w:rFonts w:asciiTheme="minorHAnsi" w:hAnsiTheme="minorHAnsi" w:cstheme="minorHAnsi"/>
                <w:sz w:val="20"/>
                <w:szCs w:val="20"/>
              </w:rPr>
              <w:t>English</w:t>
            </w:r>
          </w:p>
        </w:tc>
        <w:tc>
          <w:tcPr>
            <w:tcW w:w="1241" w:type="pct"/>
          </w:tcPr>
          <w:p w14:paraId="3561292A" w14:textId="77777777" w:rsidR="00BE36E3" w:rsidRPr="007255B8"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Entirely</w:t>
            </w:r>
          </w:p>
        </w:tc>
        <w:tc>
          <w:tcPr>
            <w:tcW w:w="1279" w:type="pct"/>
          </w:tcPr>
          <w:p w14:paraId="6B7502C0" w14:textId="77777777" w:rsidR="00BE36E3" w:rsidRPr="007255B8"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Entirely</w:t>
            </w:r>
          </w:p>
        </w:tc>
        <w:tc>
          <w:tcPr>
            <w:tcW w:w="1238" w:type="pct"/>
          </w:tcPr>
          <w:p w14:paraId="02F77F6F" w14:textId="77777777" w:rsidR="00BE36E3" w:rsidRPr="007255B8"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Common Courses Only</w:t>
            </w:r>
          </w:p>
        </w:tc>
      </w:tr>
      <w:tr w:rsidR="00BE36E3" w:rsidRPr="007255B8" w14:paraId="11F80473" w14:textId="77777777" w:rsidTr="00BE36E3">
        <w:tc>
          <w:tcPr>
            <w:cnfStyle w:val="001000000000" w:firstRow="0" w:lastRow="0" w:firstColumn="1" w:lastColumn="0" w:oddVBand="0" w:evenVBand="0" w:oddHBand="0" w:evenHBand="0" w:firstRowFirstColumn="0" w:firstRowLastColumn="0" w:lastRowFirstColumn="0" w:lastRowLastColumn="0"/>
            <w:tcW w:w="1242" w:type="pct"/>
          </w:tcPr>
          <w:p w14:paraId="1ABE4239" w14:textId="77777777" w:rsidR="00BE36E3" w:rsidRPr="007255B8" w:rsidRDefault="00BE36E3" w:rsidP="00BE36E3">
            <w:pPr>
              <w:spacing w:after="0" w:line="240" w:lineRule="auto"/>
              <w:contextualSpacing/>
              <w:jc w:val="center"/>
              <w:rPr>
                <w:rFonts w:asciiTheme="minorHAnsi" w:hAnsiTheme="minorHAnsi" w:cstheme="minorHAnsi"/>
                <w:sz w:val="20"/>
                <w:szCs w:val="20"/>
              </w:rPr>
            </w:pPr>
            <w:r>
              <w:rPr>
                <w:rFonts w:asciiTheme="minorHAnsi" w:hAnsiTheme="minorHAnsi" w:cstheme="minorHAnsi"/>
                <w:sz w:val="20"/>
                <w:szCs w:val="20"/>
              </w:rPr>
              <w:t>Entrance Standards</w:t>
            </w:r>
          </w:p>
        </w:tc>
        <w:tc>
          <w:tcPr>
            <w:tcW w:w="1241" w:type="pct"/>
          </w:tcPr>
          <w:p w14:paraId="0FFF4107" w14:textId="77777777" w:rsidR="00BE36E3" w:rsidRPr="007255B8" w:rsidRDefault="00BE36E3" w:rsidP="00BE36E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Common</w:t>
            </w:r>
          </w:p>
        </w:tc>
        <w:tc>
          <w:tcPr>
            <w:tcW w:w="1279" w:type="pct"/>
          </w:tcPr>
          <w:p w14:paraId="4E6E657C" w14:textId="77777777" w:rsidR="00BE36E3" w:rsidRPr="007255B8" w:rsidRDefault="00BE36E3" w:rsidP="00FB30F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National</w:t>
            </w:r>
          </w:p>
        </w:tc>
        <w:tc>
          <w:tcPr>
            <w:tcW w:w="1238" w:type="pct"/>
          </w:tcPr>
          <w:p w14:paraId="7C382BDF" w14:textId="77777777" w:rsidR="00BE36E3" w:rsidRPr="007255B8" w:rsidRDefault="00BE36E3" w:rsidP="00BE36E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National</w:t>
            </w:r>
          </w:p>
        </w:tc>
      </w:tr>
      <w:tr w:rsidR="00BE36E3" w:rsidRPr="007255B8" w14:paraId="32EC30A6" w14:textId="77777777" w:rsidTr="00BE3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pct"/>
          </w:tcPr>
          <w:p w14:paraId="72CF5BC2" w14:textId="77777777" w:rsidR="00BE36E3" w:rsidRPr="007255B8" w:rsidRDefault="008B2D96" w:rsidP="00BE36E3">
            <w:pPr>
              <w:spacing w:after="0" w:line="240" w:lineRule="auto"/>
              <w:contextualSpacing/>
              <w:jc w:val="center"/>
              <w:rPr>
                <w:rFonts w:asciiTheme="minorHAnsi" w:hAnsiTheme="minorHAnsi" w:cstheme="minorHAnsi"/>
                <w:sz w:val="20"/>
                <w:szCs w:val="20"/>
              </w:rPr>
            </w:pPr>
            <w:r>
              <w:rPr>
                <w:rFonts w:asciiTheme="minorHAnsi" w:hAnsiTheme="minorHAnsi" w:cstheme="minorHAnsi"/>
                <w:sz w:val="20"/>
                <w:szCs w:val="20"/>
              </w:rPr>
              <w:t>Quality Assurance</w:t>
            </w:r>
          </w:p>
        </w:tc>
        <w:tc>
          <w:tcPr>
            <w:tcW w:w="1241" w:type="pct"/>
          </w:tcPr>
          <w:p w14:paraId="18001338" w14:textId="77777777" w:rsidR="00BE36E3" w:rsidRPr="007255B8"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NORDEFCO</w:t>
            </w:r>
          </w:p>
        </w:tc>
        <w:tc>
          <w:tcPr>
            <w:tcW w:w="1279" w:type="pct"/>
          </w:tcPr>
          <w:p w14:paraId="55EE1AFE" w14:textId="77777777" w:rsidR="00BE36E3" w:rsidRPr="007255B8" w:rsidRDefault="00BE36E3" w:rsidP="00FB30F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NORDEFCO</w:t>
            </w:r>
          </w:p>
        </w:tc>
        <w:tc>
          <w:tcPr>
            <w:tcW w:w="1238" w:type="pct"/>
          </w:tcPr>
          <w:p w14:paraId="2A8E5F56" w14:textId="77777777" w:rsidR="00BE36E3" w:rsidRPr="007255B8" w:rsidRDefault="00BE36E3" w:rsidP="00BE36E3">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NORDEFCO + National</w:t>
            </w:r>
          </w:p>
        </w:tc>
      </w:tr>
      <w:tr w:rsidR="008B2D96" w:rsidRPr="007255B8" w14:paraId="221EDDB9" w14:textId="77777777" w:rsidTr="008B2D96">
        <w:tc>
          <w:tcPr>
            <w:cnfStyle w:val="001000000000" w:firstRow="0" w:lastRow="0" w:firstColumn="1" w:lastColumn="0" w:oddVBand="0" w:evenVBand="0" w:oddHBand="0" w:evenHBand="0" w:firstRowFirstColumn="0" w:firstRowLastColumn="0" w:lastRowFirstColumn="0" w:lastRowLastColumn="0"/>
            <w:tcW w:w="1242" w:type="pct"/>
          </w:tcPr>
          <w:p w14:paraId="2A1311F2" w14:textId="77777777" w:rsidR="008B2D96" w:rsidRPr="007255B8" w:rsidRDefault="008B2D96" w:rsidP="00563793">
            <w:pPr>
              <w:spacing w:after="0" w:line="240" w:lineRule="auto"/>
              <w:contextualSpacing/>
              <w:jc w:val="center"/>
              <w:rPr>
                <w:rFonts w:asciiTheme="minorHAnsi" w:hAnsiTheme="minorHAnsi" w:cstheme="minorHAnsi"/>
                <w:sz w:val="20"/>
                <w:szCs w:val="20"/>
              </w:rPr>
            </w:pPr>
            <w:r w:rsidRPr="007255B8">
              <w:rPr>
                <w:rFonts w:asciiTheme="minorHAnsi" w:hAnsiTheme="minorHAnsi" w:cstheme="minorHAnsi"/>
                <w:sz w:val="20"/>
                <w:szCs w:val="20"/>
              </w:rPr>
              <w:t>Common Schedule</w:t>
            </w:r>
          </w:p>
        </w:tc>
        <w:tc>
          <w:tcPr>
            <w:tcW w:w="1241" w:type="pct"/>
          </w:tcPr>
          <w:p w14:paraId="38A428E3" w14:textId="77777777" w:rsidR="008B2D96" w:rsidRPr="007255B8" w:rsidRDefault="008B2D96" w:rsidP="0056379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Entirely</w:t>
            </w:r>
          </w:p>
        </w:tc>
        <w:tc>
          <w:tcPr>
            <w:tcW w:w="1279" w:type="pct"/>
          </w:tcPr>
          <w:p w14:paraId="0CC15A3E" w14:textId="77777777" w:rsidR="008B2D96" w:rsidRPr="007255B8" w:rsidRDefault="00FB30F0" w:rsidP="0056379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Academic Year</w:t>
            </w:r>
          </w:p>
        </w:tc>
        <w:tc>
          <w:tcPr>
            <w:tcW w:w="1238" w:type="pct"/>
          </w:tcPr>
          <w:p w14:paraId="70AFC4D4" w14:textId="77777777" w:rsidR="008B2D96" w:rsidRPr="007255B8" w:rsidRDefault="00FB30F0" w:rsidP="00563793">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Academic Year</w:t>
            </w:r>
          </w:p>
        </w:tc>
      </w:tr>
      <w:tr w:rsidR="00FB30F0" w:rsidRPr="007255B8" w14:paraId="0486C310" w14:textId="77777777" w:rsidTr="00FB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pct"/>
          </w:tcPr>
          <w:p w14:paraId="152CBA7B" w14:textId="77777777" w:rsidR="00FB30F0" w:rsidRPr="007255B8" w:rsidRDefault="00FB30F0" w:rsidP="00FB30F0">
            <w:pPr>
              <w:spacing w:after="0" w:line="240" w:lineRule="auto"/>
              <w:contextualSpacing/>
              <w:jc w:val="center"/>
              <w:rPr>
                <w:rFonts w:asciiTheme="minorHAnsi" w:hAnsiTheme="minorHAnsi" w:cstheme="minorHAnsi"/>
                <w:sz w:val="20"/>
                <w:szCs w:val="20"/>
              </w:rPr>
            </w:pPr>
            <w:r w:rsidRPr="007255B8">
              <w:rPr>
                <w:rFonts w:asciiTheme="minorHAnsi" w:hAnsiTheme="minorHAnsi" w:cstheme="minorHAnsi"/>
                <w:sz w:val="20"/>
                <w:szCs w:val="20"/>
              </w:rPr>
              <w:t>Mobility</w:t>
            </w:r>
          </w:p>
        </w:tc>
        <w:tc>
          <w:tcPr>
            <w:tcW w:w="1241" w:type="pct"/>
          </w:tcPr>
          <w:p w14:paraId="6FFAC3F7" w14:textId="77777777" w:rsidR="00FB30F0" w:rsidRPr="007255B8" w:rsidRDefault="00FB30F0" w:rsidP="00FB30F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5B8">
              <w:rPr>
                <w:rFonts w:asciiTheme="minorHAnsi" w:hAnsiTheme="minorHAnsi" w:cstheme="minorHAnsi"/>
                <w:sz w:val="20"/>
                <w:szCs w:val="20"/>
              </w:rPr>
              <w:t>All</w:t>
            </w:r>
          </w:p>
        </w:tc>
        <w:tc>
          <w:tcPr>
            <w:tcW w:w="1279" w:type="pct"/>
          </w:tcPr>
          <w:p w14:paraId="023CDF48" w14:textId="77777777" w:rsidR="00FB30F0" w:rsidRPr="007255B8" w:rsidRDefault="00FB30F0" w:rsidP="00FB30F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Facilitated by Scheduling</w:t>
            </w:r>
          </w:p>
        </w:tc>
        <w:tc>
          <w:tcPr>
            <w:tcW w:w="1238" w:type="pct"/>
          </w:tcPr>
          <w:p w14:paraId="744E8D11" w14:textId="77777777" w:rsidR="00FB30F0" w:rsidRPr="007255B8" w:rsidRDefault="00FB30F0" w:rsidP="00FB30F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Facilitated by Scheduling</w:t>
            </w:r>
          </w:p>
        </w:tc>
      </w:tr>
    </w:tbl>
    <w:p w14:paraId="40F5E6FF" w14:textId="77777777" w:rsidR="004506ED" w:rsidRDefault="004506ED" w:rsidP="00870B6A">
      <w:pPr>
        <w:spacing w:after="0" w:line="240" w:lineRule="auto"/>
        <w:contextualSpacing/>
        <w:jc w:val="both"/>
        <w:rPr>
          <w:rFonts w:asciiTheme="majorHAnsi" w:hAnsiTheme="majorHAnsi"/>
          <w:sz w:val="24"/>
          <w:szCs w:val="24"/>
        </w:rPr>
      </w:pPr>
    </w:p>
    <w:p w14:paraId="34ABA898" w14:textId="77777777" w:rsidR="00A16FB6" w:rsidRDefault="000A6442"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Each of these </w:t>
      </w:r>
      <w:r w:rsidR="008B2D96">
        <w:rPr>
          <w:rFonts w:asciiTheme="majorHAnsi" w:hAnsiTheme="majorHAnsi"/>
          <w:sz w:val="24"/>
          <w:szCs w:val="24"/>
        </w:rPr>
        <w:t>three</w:t>
      </w:r>
      <w:r>
        <w:rPr>
          <w:rFonts w:asciiTheme="majorHAnsi" w:hAnsiTheme="majorHAnsi"/>
          <w:sz w:val="24"/>
          <w:szCs w:val="24"/>
        </w:rPr>
        <w:t xml:space="preserve"> alternative ways of institutionalizing PME cooperation in the Nordic countries has different degrees of potential to enable further reform and cooperation.  </w:t>
      </w:r>
      <w:r w:rsidR="00F35B8B">
        <w:rPr>
          <w:rFonts w:asciiTheme="majorHAnsi" w:hAnsiTheme="majorHAnsi"/>
          <w:sz w:val="24"/>
          <w:szCs w:val="24"/>
        </w:rPr>
        <w:t>Each option has its own liabilities</w:t>
      </w:r>
      <w:r>
        <w:rPr>
          <w:rFonts w:asciiTheme="majorHAnsi" w:hAnsiTheme="majorHAnsi"/>
          <w:sz w:val="24"/>
          <w:szCs w:val="24"/>
        </w:rPr>
        <w:t xml:space="preserve"> </w:t>
      </w:r>
      <w:r w:rsidR="00F35B8B">
        <w:rPr>
          <w:rFonts w:asciiTheme="majorHAnsi" w:hAnsiTheme="majorHAnsi"/>
          <w:sz w:val="24"/>
          <w:szCs w:val="24"/>
        </w:rPr>
        <w:t>as well.  A NORDEFCOL would require significant investments</w:t>
      </w:r>
      <w:r>
        <w:rPr>
          <w:rFonts w:asciiTheme="majorHAnsi" w:hAnsiTheme="majorHAnsi"/>
          <w:sz w:val="24"/>
          <w:szCs w:val="24"/>
        </w:rPr>
        <w:t xml:space="preserve"> during a period of austerity</w:t>
      </w:r>
      <w:r w:rsidR="00F35B8B">
        <w:rPr>
          <w:rFonts w:asciiTheme="majorHAnsi" w:hAnsiTheme="majorHAnsi"/>
          <w:sz w:val="24"/>
          <w:szCs w:val="24"/>
        </w:rPr>
        <w:t>, although it might prove</w:t>
      </w:r>
      <w:r>
        <w:rPr>
          <w:rFonts w:asciiTheme="majorHAnsi" w:hAnsiTheme="majorHAnsi"/>
          <w:sz w:val="24"/>
          <w:szCs w:val="24"/>
        </w:rPr>
        <w:t xml:space="preserve"> to be more efficient over time.  It</w:t>
      </w:r>
      <w:r w:rsidR="00F35B8B">
        <w:rPr>
          <w:rFonts w:asciiTheme="majorHAnsi" w:hAnsiTheme="majorHAnsi"/>
          <w:sz w:val="24"/>
          <w:szCs w:val="24"/>
        </w:rPr>
        <w:t xml:space="preserve"> would focus any efforts to further</w:t>
      </w:r>
      <w:r>
        <w:rPr>
          <w:rFonts w:asciiTheme="majorHAnsi" w:hAnsiTheme="majorHAnsi"/>
          <w:sz w:val="24"/>
          <w:szCs w:val="24"/>
        </w:rPr>
        <w:t xml:space="preserve"> reform PME in one organization</w:t>
      </w:r>
      <w:r w:rsidR="00F35B8B">
        <w:rPr>
          <w:rFonts w:asciiTheme="majorHAnsi" w:hAnsiTheme="majorHAnsi"/>
          <w:sz w:val="24"/>
          <w:szCs w:val="24"/>
        </w:rPr>
        <w:t xml:space="preserve"> and would certainly give a Nordic profile to any subsequent cooperation in multinational military operations.  </w:t>
      </w:r>
      <w:r w:rsidR="00563793">
        <w:rPr>
          <w:rFonts w:asciiTheme="majorHAnsi" w:hAnsiTheme="majorHAnsi"/>
          <w:sz w:val="24"/>
          <w:szCs w:val="24"/>
        </w:rPr>
        <w:t>Like the Baltic Defence College, a NORDEFCOL could serve as a single provider for all command and staff education for the Nordic countries.  It could also serve as an elite institution for officers bound for multinational,</w:t>
      </w:r>
      <w:r w:rsidR="00563793" w:rsidRPr="00563793">
        <w:rPr>
          <w:rFonts w:asciiTheme="majorHAnsi" w:hAnsiTheme="majorHAnsi"/>
          <w:sz w:val="24"/>
          <w:szCs w:val="24"/>
        </w:rPr>
        <w:t xml:space="preserve"> </w:t>
      </w:r>
      <w:r w:rsidR="00563793">
        <w:rPr>
          <w:rFonts w:asciiTheme="majorHAnsi" w:hAnsiTheme="majorHAnsi"/>
          <w:sz w:val="24"/>
          <w:szCs w:val="24"/>
        </w:rPr>
        <w:t>rather than national, billets.</w:t>
      </w:r>
      <w:r w:rsidR="00EA7734">
        <w:rPr>
          <w:rStyle w:val="FootnoteReference"/>
          <w:rFonts w:asciiTheme="majorHAnsi" w:hAnsiTheme="majorHAnsi"/>
          <w:sz w:val="24"/>
          <w:szCs w:val="24"/>
        </w:rPr>
        <w:footnoteReference w:id="43"/>
      </w:r>
    </w:p>
    <w:p w14:paraId="386F8E89" w14:textId="77777777" w:rsidR="00A16FB6" w:rsidRDefault="00A16FB6" w:rsidP="00870B6A">
      <w:pPr>
        <w:spacing w:after="0" w:line="240" w:lineRule="auto"/>
        <w:contextualSpacing/>
        <w:jc w:val="both"/>
        <w:rPr>
          <w:rFonts w:asciiTheme="majorHAnsi" w:hAnsiTheme="majorHAnsi"/>
          <w:sz w:val="24"/>
          <w:szCs w:val="24"/>
        </w:rPr>
      </w:pPr>
    </w:p>
    <w:p w14:paraId="2ABBE3E7" w14:textId="77777777" w:rsidR="00A16FB6" w:rsidRDefault="00F35B8B" w:rsidP="00870B6A">
      <w:pPr>
        <w:spacing w:after="0" w:line="240" w:lineRule="auto"/>
        <w:contextualSpacing/>
        <w:jc w:val="both"/>
        <w:rPr>
          <w:rFonts w:asciiTheme="majorHAnsi" w:hAnsiTheme="majorHAnsi"/>
          <w:sz w:val="24"/>
          <w:szCs w:val="24"/>
        </w:rPr>
      </w:pPr>
      <w:r>
        <w:rPr>
          <w:rFonts w:asciiTheme="majorHAnsi" w:hAnsiTheme="majorHAnsi"/>
          <w:sz w:val="24"/>
          <w:szCs w:val="24"/>
        </w:rPr>
        <w:t xml:space="preserve">Standardizing courses of study across the Nordic schoolhouses would require significant adjustment of the curriculum and </w:t>
      </w:r>
      <w:r w:rsidR="00563793">
        <w:rPr>
          <w:rFonts w:asciiTheme="majorHAnsi" w:hAnsiTheme="majorHAnsi"/>
          <w:sz w:val="24"/>
          <w:szCs w:val="24"/>
        </w:rPr>
        <w:t>eliminate</w:t>
      </w:r>
      <w:r>
        <w:rPr>
          <w:rFonts w:asciiTheme="majorHAnsi" w:hAnsiTheme="majorHAnsi"/>
          <w:sz w:val="24"/>
          <w:szCs w:val="24"/>
        </w:rPr>
        <w:t xml:space="preserve"> its national content.  </w:t>
      </w:r>
      <w:r w:rsidR="00563793">
        <w:rPr>
          <w:rFonts w:asciiTheme="majorHAnsi" w:hAnsiTheme="majorHAnsi"/>
          <w:sz w:val="24"/>
          <w:szCs w:val="24"/>
        </w:rPr>
        <w:t>It</w:t>
      </w:r>
      <w:r>
        <w:rPr>
          <w:rFonts w:asciiTheme="majorHAnsi" w:hAnsiTheme="majorHAnsi"/>
          <w:sz w:val="24"/>
          <w:szCs w:val="24"/>
        </w:rPr>
        <w:t xml:space="preserve"> would</w:t>
      </w:r>
      <w:r w:rsidR="00563793">
        <w:rPr>
          <w:rFonts w:asciiTheme="majorHAnsi" w:hAnsiTheme="majorHAnsi"/>
          <w:sz w:val="24"/>
          <w:szCs w:val="24"/>
        </w:rPr>
        <w:t xml:space="preserve"> thereby</w:t>
      </w:r>
      <w:r>
        <w:rPr>
          <w:rFonts w:asciiTheme="majorHAnsi" w:hAnsiTheme="majorHAnsi"/>
          <w:sz w:val="24"/>
          <w:szCs w:val="24"/>
        </w:rPr>
        <w:t xml:space="preserve"> provide opportunities for economies of scale in curriculum production, validation, and accreditation, provide an institutional focus for further PME reform, and again establish a Nordic profile in multinational military operations.  </w:t>
      </w:r>
      <w:r w:rsidR="00563793">
        <w:rPr>
          <w:rFonts w:asciiTheme="majorHAnsi" w:hAnsiTheme="majorHAnsi"/>
          <w:sz w:val="24"/>
          <w:szCs w:val="24"/>
        </w:rPr>
        <w:t xml:space="preserve">It would eliminate the need for officer exchanges between the Nordic countries, at least for curricular purposes, as they should receive the same education regardless of provider.  Still, exchanges would </w:t>
      </w:r>
      <w:r w:rsidR="0020306E">
        <w:rPr>
          <w:rFonts w:asciiTheme="majorHAnsi" w:hAnsiTheme="majorHAnsi"/>
          <w:sz w:val="24"/>
          <w:szCs w:val="24"/>
        </w:rPr>
        <w:t xml:space="preserve">require </w:t>
      </w:r>
      <w:r w:rsidR="00FB30F0">
        <w:rPr>
          <w:rFonts w:asciiTheme="majorHAnsi" w:hAnsiTheme="majorHAnsi"/>
          <w:sz w:val="24"/>
          <w:szCs w:val="24"/>
        </w:rPr>
        <w:t>harmonization of the academic year to accommodate officer duty assignments.  Common entrance standards would facilitate such exchanges and help ensure the rigor and quality of the education provided.</w:t>
      </w:r>
    </w:p>
    <w:p w14:paraId="0522EF5C" w14:textId="77777777" w:rsidR="00A16FB6" w:rsidRDefault="00A16FB6" w:rsidP="00870B6A">
      <w:pPr>
        <w:spacing w:after="0" w:line="240" w:lineRule="auto"/>
        <w:contextualSpacing/>
        <w:jc w:val="both"/>
        <w:rPr>
          <w:rFonts w:asciiTheme="majorHAnsi" w:hAnsiTheme="majorHAnsi"/>
          <w:sz w:val="24"/>
          <w:szCs w:val="24"/>
        </w:rPr>
      </w:pPr>
    </w:p>
    <w:p w14:paraId="2845591E" w14:textId="77777777" w:rsidR="00A16FB6" w:rsidRDefault="008A1334" w:rsidP="00870B6A">
      <w:pPr>
        <w:spacing w:after="0" w:line="240" w:lineRule="auto"/>
        <w:contextualSpacing/>
        <w:jc w:val="both"/>
        <w:rPr>
          <w:rFonts w:asciiTheme="majorHAnsi" w:hAnsiTheme="majorHAnsi"/>
          <w:sz w:val="24"/>
          <w:szCs w:val="24"/>
        </w:rPr>
      </w:pPr>
      <w:r>
        <w:rPr>
          <w:rFonts w:asciiTheme="majorHAnsi" w:hAnsiTheme="majorHAnsi"/>
          <w:sz w:val="24"/>
          <w:szCs w:val="24"/>
        </w:rPr>
        <w:t>Finally, e</w:t>
      </w:r>
      <w:r w:rsidR="008B2D96">
        <w:rPr>
          <w:rFonts w:asciiTheme="majorHAnsi" w:hAnsiTheme="majorHAnsi"/>
          <w:sz w:val="24"/>
          <w:szCs w:val="24"/>
        </w:rPr>
        <w:t>stablishing a common core of courses</w:t>
      </w:r>
      <w:r w:rsidR="00F35B8B">
        <w:rPr>
          <w:rFonts w:asciiTheme="majorHAnsi" w:hAnsiTheme="majorHAnsi"/>
          <w:sz w:val="24"/>
          <w:szCs w:val="24"/>
        </w:rPr>
        <w:t xml:space="preserve"> requires the least adjustment in the purpose and structure of intermediate PME across the Nordic </w:t>
      </w:r>
      <w:proofErr w:type="gramStart"/>
      <w:r w:rsidR="00F35B8B">
        <w:rPr>
          <w:rFonts w:asciiTheme="majorHAnsi" w:hAnsiTheme="majorHAnsi"/>
          <w:sz w:val="24"/>
          <w:szCs w:val="24"/>
        </w:rPr>
        <w:t>states,</w:t>
      </w:r>
      <w:proofErr w:type="gramEnd"/>
      <w:r w:rsidR="00F35B8B">
        <w:rPr>
          <w:rFonts w:asciiTheme="majorHAnsi" w:hAnsiTheme="majorHAnsi"/>
          <w:sz w:val="24"/>
          <w:szCs w:val="24"/>
        </w:rPr>
        <w:t xml:space="preserve"> </w:t>
      </w:r>
      <w:r w:rsidR="008B2D96">
        <w:rPr>
          <w:rFonts w:asciiTheme="majorHAnsi" w:hAnsiTheme="majorHAnsi"/>
          <w:sz w:val="24"/>
          <w:szCs w:val="24"/>
        </w:rPr>
        <w:t xml:space="preserve">yet </w:t>
      </w:r>
      <w:r w:rsidR="00F35B8B">
        <w:rPr>
          <w:rFonts w:asciiTheme="majorHAnsi" w:hAnsiTheme="majorHAnsi"/>
          <w:sz w:val="24"/>
          <w:szCs w:val="24"/>
        </w:rPr>
        <w:t xml:space="preserve">provides for a common Nordic profile in multinational operations, and lays the basis for further cooperative reforms.  </w:t>
      </w:r>
      <w:r>
        <w:rPr>
          <w:rFonts w:asciiTheme="majorHAnsi" w:hAnsiTheme="majorHAnsi"/>
          <w:sz w:val="24"/>
          <w:szCs w:val="24"/>
        </w:rPr>
        <w:t xml:space="preserve">The common core courses would likely occupy a large portion of the curriculum and be built from what is currently on offer.  </w:t>
      </w:r>
      <w:r w:rsidR="00FB30F0">
        <w:rPr>
          <w:rFonts w:asciiTheme="majorHAnsi" w:hAnsiTheme="majorHAnsi"/>
          <w:sz w:val="24"/>
          <w:szCs w:val="24"/>
        </w:rPr>
        <w:t>Officer exchanges need not occur to facilitate a common core education, but would require common scheduling for the academic year to accommodate officer duty assignments and would benefit from common entrance requirements to ensure the quality and rigor of the curriculum.</w:t>
      </w:r>
      <w:r>
        <w:rPr>
          <w:rFonts w:asciiTheme="majorHAnsi" w:hAnsiTheme="majorHAnsi"/>
          <w:sz w:val="24"/>
          <w:szCs w:val="24"/>
        </w:rPr>
        <w:t xml:space="preserve">  Such a solution represents perhaps the most likely step forward in cooperation among the Nordic states at the command and staff course level.</w:t>
      </w:r>
    </w:p>
    <w:p w14:paraId="07788C53" w14:textId="77777777" w:rsidR="004446C7" w:rsidRDefault="004446C7" w:rsidP="00870B6A">
      <w:pPr>
        <w:spacing w:after="0" w:line="240" w:lineRule="auto"/>
        <w:contextualSpacing/>
        <w:jc w:val="both"/>
        <w:rPr>
          <w:rFonts w:asciiTheme="majorHAnsi" w:hAnsiTheme="majorHAnsi"/>
          <w:b/>
          <w:color w:val="4F81BD" w:themeColor="accent1"/>
          <w:sz w:val="24"/>
          <w:szCs w:val="24"/>
        </w:rPr>
      </w:pPr>
      <w:bookmarkStart w:id="3" w:name="_Toc230156292"/>
    </w:p>
    <w:p w14:paraId="36ABF703" w14:textId="77777777" w:rsidR="004446C7" w:rsidRDefault="004446C7" w:rsidP="00870B6A">
      <w:pPr>
        <w:spacing w:after="0" w:line="240" w:lineRule="auto"/>
        <w:contextualSpacing/>
        <w:jc w:val="both"/>
        <w:rPr>
          <w:rFonts w:asciiTheme="majorHAnsi" w:hAnsiTheme="majorHAnsi"/>
          <w:b/>
          <w:color w:val="4F81BD" w:themeColor="accent1"/>
          <w:sz w:val="24"/>
          <w:szCs w:val="24"/>
        </w:rPr>
      </w:pPr>
    </w:p>
    <w:p w14:paraId="7E300407" w14:textId="77777777" w:rsidR="00C95B5D" w:rsidRPr="004446C7" w:rsidRDefault="00C95B5D" w:rsidP="00870B6A">
      <w:pPr>
        <w:spacing w:after="0" w:line="240" w:lineRule="auto"/>
        <w:contextualSpacing/>
        <w:jc w:val="both"/>
        <w:rPr>
          <w:rFonts w:ascii="Cambria" w:hAnsi="Cambria"/>
          <w:b/>
          <w:sz w:val="24"/>
          <w:szCs w:val="24"/>
        </w:rPr>
      </w:pPr>
      <w:r w:rsidRPr="004446C7">
        <w:rPr>
          <w:rFonts w:asciiTheme="majorHAnsi" w:hAnsiTheme="majorHAnsi"/>
          <w:b/>
          <w:sz w:val="24"/>
          <w:szCs w:val="24"/>
        </w:rPr>
        <w:t>Conclusion</w:t>
      </w:r>
      <w:bookmarkEnd w:id="3"/>
      <w:r w:rsidRPr="004446C7">
        <w:rPr>
          <w:rFonts w:ascii="Cambria" w:hAnsi="Cambria"/>
          <w:b/>
          <w:sz w:val="24"/>
          <w:szCs w:val="24"/>
        </w:rPr>
        <w:t xml:space="preserve"> </w:t>
      </w:r>
    </w:p>
    <w:p w14:paraId="13178DDC" w14:textId="77777777" w:rsidR="00C95B5D" w:rsidRDefault="00C95B5D" w:rsidP="00870B6A">
      <w:pPr>
        <w:spacing w:after="0" w:line="240" w:lineRule="auto"/>
        <w:contextualSpacing/>
        <w:jc w:val="both"/>
        <w:rPr>
          <w:rFonts w:ascii="Cambria" w:hAnsi="Cambria"/>
          <w:sz w:val="24"/>
          <w:szCs w:val="24"/>
        </w:rPr>
      </w:pPr>
    </w:p>
    <w:p w14:paraId="09A9FA94" w14:textId="77777777" w:rsidR="00F93B97" w:rsidRPr="000E27DA" w:rsidRDefault="00165614" w:rsidP="00870B6A">
      <w:pPr>
        <w:spacing w:after="0" w:line="240" w:lineRule="auto"/>
        <w:contextualSpacing/>
        <w:jc w:val="both"/>
        <w:rPr>
          <w:rFonts w:ascii="Cambria" w:hAnsi="Cambria"/>
          <w:sz w:val="24"/>
          <w:szCs w:val="24"/>
        </w:rPr>
      </w:pPr>
      <w:r w:rsidRPr="000E27DA">
        <w:rPr>
          <w:rFonts w:ascii="Cambria" w:hAnsi="Cambria"/>
          <w:sz w:val="24"/>
          <w:szCs w:val="24"/>
        </w:rPr>
        <w:t xml:space="preserve">The </w:t>
      </w:r>
      <w:r w:rsidR="00C95B5D">
        <w:rPr>
          <w:rFonts w:ascii="Cambria" w:hAnsi="Cambria"/>
          <w:sz w:val="24"/>
          <w:szCs w:val="24"/>
        </w:rPr>
        <w:t xml:space="preserve">Nordic </w:t>
      </w:r>
      <w:r w:rsidRPr="000E27DA">
        <w:rPr>
          <w:rFonts w:ascii="Cambria" w:hAnsi="Cambria"/>
          <w:sz w:val="24"/>
          <w:szCs w:val="24"/>
        </w:rPr>
        <w:t xml:space="preserve">states have </w:t>
      </w:r>
      <w:r w:rsidR="00F575A8">
        <w:rPr>
          <w:rFonts w:ascii="Cambria" w:hAnsi="Cambria"/>
          <w:sz w:val="24"/>
          <w:szCs w:val="24"/>
        </w:rPr>
        <w:t>a long history of educating some of</w:t>
      </w:r>
      <w:r w:rsidR="00871ABC">
        <w:rPr>
          <w:rFonts w:ascii="Cambria" w:hAnsi="Cambria"/>
          <w:sz w:val="24"/>
          <w:szCs w:val="24"/>
        </w:rPr>
        <w:t xml:space="preserve"> their office</w:t>
      </w:r>
      <w:r w:rsidR="008A1334">
        <w:rPr>
          <w:rFonts w:ascii="Cambria" w:hAnsi="Cambria"/>
          <w:sz w:val="24"/>
          <w:szCs w:val="24"/>
        </w:rPr>
        <w:t>r</w:t>
      </w:r>
      <w:r w:rsidR="00871ABC">
        <w:rPr>
          <w:rFonts w:ascii="Cambria" w:hAnsi="Cambria"/>
          <w:sz w:val="24"/>
          <w:szCs w:val="24"/>
        </w:rPr>
        <w:t xml:space="preserve">s in a </w:t>
      </w:r>
      <w:r w:rsidRPr="000E27DA">
        <w:rPr>
          <w:rFonts w:ascii="Cambria" w:hAnsi="Cambria"/>
          <w:sz w:val="24"/>
          <w:szCs w:val="24"/>
        </w:rPr>
        <w:t>cooperat</w:t>
      </w:r>
      <w:r w:rsidR="00871ABC">
        <w:rPr>
          <w:rFonts w:ascii="Cambria" w:hAnsi="Cambria"/>
          <w:sz w:val="24"/>
          <w:szCs w:val="24"/>
        </w:rPr>
        <w:t>ive</w:t>
      </w:r>
      <w:r w:rsidRPr="000E27DA">
        <w:rPr>
          <w:rFonts w:ascii="Cambria" w:hAnsi="Cambria"/>
          <w:sz w:val="24"/>
          <w:szCs w:val="24"/>
        </w:rPr>
        <w:t xml:space="preserve"> </w:t>
      </w:r>
      <w:r w:rsidR="00871ABC">
        <w:rPr>
          <w:rFonts w:ascii="Cambria" w:hAnsi="Cambria"/>
          <w:sz w:val="24"/>
          <w:szCs w:val="24"/>
        </w:rPr>
        <w:t>manner</w:t>
      </w:r>
      <w:r w:rsidR="00765D0F" w:rsidRPr="000E27DA">
        <w:rPr>
          <w:rFonts w:ascii="Cambria" w:hAnsi="Cambria"/>
          <w:sz w:val="24"/>
          <w:szCs w:val="24"/>
        </w:rPr>
        <w:t xml:space="preserve">.  They have </w:t>
      </w:r>
      <w:r w:rsidR="00C7491F">
        <w:rPr>
          <w:rFonts w:ascii="Cambria" w:hAnsi="Cambria"/>
          <w:sz w:val="24"/>
          <w:szCs w:val="24"/>
        </w:rPr>
        <w:t>developed</w:t>
      </w:r>
      <w:r w:rsidR="00765D0F" w:rsidRPr="000E27DA">
        <w:rPr>
          <w:rFonts w:ascii="Cambria" w:hAnsi="Cambria"/>
          <w:sz w:val="24"/>
          <w:szCs w:val="24"/>
        </w:rPr>
        <w:t xml:space="preserve"> </w:t>
      </w:r>
      <w:r w:rsidRPr="000E27DA">
        <w:rPr>
          <w:rFonts w:ascii="Cambria" w:hAnsi="Cambria"/>
          <w:sz w:val="24"/>
          <w:szCs w:val="24"/>
        </w:rPr>
        <w:t>common courses for commo</w:t>
      </w:r>
      <w:r w:rsidR="00765D0F" w:rsidRPr="000E27DA">
        <w:rPr>
          <w:rFonts w:ascii="Cambria" w:hAnsi="Cambria"/>
          <w:sz w:val="24"/>
          <w:szCs w:val="24"/>
        </w:rPr>
        <w:t>n purposes</w:t>
      </w:r>
      <w:r w:rsidR="00A75F18">
        <w:rPr>
          <w:rFonts w:ascii="Cambria" w:hAnsi="Cambria"/>
          <w:sz w:val="24"/>
          <w:szCs w:val="24"/>
        </w:rPr>
        <w:t xml:space="preserve"> in discrete training subjects and</w:t>
      </w:r>
      <w:r w:rsidR="00765D0F" w:rsidRPr="000E27DA">
        <w:rPr>
          <w:rFonts w:ascii="Cambria" w:hAnsi="Cambria"/>
          <w:sz w:val="24"/>
          <w:szCs w:val="24"/>
        </w:rPr>
        <w:t xml:space="preserve"> </w:t>
      </w:r>
      <w:r w:rsidR="00C95B5D">
        <w:rPr>
          <w:rFonts w:ascii="Cambria" w:hAnsi="Cambria"/>
          <w:sz w:val="24"/>
          <w:szCs w:val="24"/>
        </w:rPr>
        <w:t xml:space="preserve">are </w:t>
      </w:r>
      <w:r w:rsidR="00A75F18">
        <w:rPr>
          <w:rFonts w:ascii="Cambria" w:hAnsi="Cambria"/>
          <w:sz w:val="24"/>
          <w:szCs w:val="24"/>
        </w:rPr>
        <w:t xml:space="preserve">now </w:t>
      </w:r>
      <w:r w:rsidR="00C95B5D">
        <w:rPr>
          <w:rFonts w:ascii="Cambria" w:hAnsi="Cambria"/>
          <w:sz w:val="24"/>
          <w:szCs w:val="24"/>
        </w:rPr>
        <w:t>considering how to expand their cooperation to t</w:t>
      </w:r>
      <w:r w:rsidR="00765D0F" w:rsidRPr="000E27DA">
        <w:rPr>
          <w:rFonts w:ascii="Cambria" w:hAnsi="Cambria"/>
          <w:sz w:val="24"/>
          <w:szCs w:val="24"/>
        </w:rPr>
        <w:t>he</w:t>
      </w:r>
      <w:r w:rsidR="00C95B5D">
        <w:rPr>
          <w:rFonts w:ascii="Cambria" w:hAnsi="Cambria"/>
          <w:sz w:val="24"/>
          <w:szCs w:val="24"/>
        </w:rPr>
        <w:t>ir</w:t>
      </w:r>
      <w:r w:rsidR="00765D0F" w:rsidRPr="000E27DA">
        <w:rPr>
          <w:rFonts w:ascii="Cambria" w:hAnsi="Cambria"/>
          <w:sz w:val="24"/>
          <w:szCs w:val="24"/>
        </w:rPr>
        <w:t xml:space="preserve"> command and staff courses</w:t>
      </w:r>
      <w:r w:rsidR="00F575A8">
        <w:rPr>
          <w:rFonts w:ascii="Cambria" w:hAnsi="Cambria"/>
          <w:sz w:val="24"/>
          <w:szCs w:val="24"/>
        </w:rPr>
        <w:t>.  They are doing so to</w:t>
      </w:r>
      <w:r w:rsidR="00C7491F">
        <w:rPr>
          <w:rFonts w:ascii="Cambria" w:hAnsi="Cambria"/>
          <w:sz w:val="24"/>
          <w:szCs w:val="24"/>
        </w:rPr>
        <w:t xml:space="preserve"> capture some efficiencies, improve the quality of their staff officers, and enhance the Nordic profile in multinational expeditionary operations. C</w:t>
      </w:r>
      <w:r w:rsidR="00765D0F" w:rsidRPr="000E27DA">
        <w:rPr>
          <w:rFonts w:ascii="Cambria" w:hAnsi="Cambria"/>
          <w:sz w:val="24"/>
          <w:szCs w:val="24"/>
        </w:rPr>
        <w:t xml:space="preserve">ooperation </w:t>
      </w:r>
      <w:r w:rsidR="00C7491F">
        <w:rPr>
          <w:rFonts w:ascii="Cambria" w:hAnsi="Cambria"/>
          <w:sz w:val="24"/>
          <w:szCs w:val="24"/>
        </w:rPr>
        <w:t xml:space="preserve">between even these strategically proximate states </w:t>
      </w:r>
      <w:r w:rsidR="00765D0F" w:rsidRPr="000E27DA">
        <w:rPr>
          <w:rFonts w:ascii="Cambria" w:hAnsi="Cambria"/>
          <w:sz w:val="24"/>
          <w:szCs w:val="24"/>
        </w:rPr>
        <w:t>is difficult</w:t>
      </w:r>
      <w:r w:rsidR="00C7491F">
        <w:rPr>
          <w:rFonts w:ascii="Cambria" w:hAnsi="Cambria"/>
          <w:sz w:val="24"/>
          <w:szCs w:val="24"/>
        </w:rPr>
        <w:t xml:space="preserve"> at this level</w:t>
      </w:r>
      <w:r w:rsidR="00C95B5D">
        <w:rPr>
          <w:rFonts w:ascii="Cambria" w:hAnsi="Cambria"/>
          <w:sz w:val="24"/>
          <w:szCs w:val="24"/>
        </w:rPr>
        <w:t>, however,</w:t>
      </w:r>
      <w:r w:rsidR="00765D0F" w:rsidRPr="000E27DA">
        <w:rPr>
          <w:rFonts w:ascii="Cambria" w:hAnsi="Cambria"/>
          <w:sz w:val="24"/>
          <w:szCs w:val="24"/>
        </w:rPr>
        <w:t xml:space="preserve"> because these </w:t>
      </w:r>
      <w:r w:rsidR="00C95B5D">
        <w:rPr>
          <w:rFonts w:ascii="Cambria" w:hAnsi="Cambria"/>
          <w:sz w:val="24"/>
          <w:szCs w:val="24"/>
        </w:rPr>
        <w:t xml:space="preserve">courses </w:t>
      </w:r>
      <w:r w:rsidR="00765D0F" w:rsidRPr="000E27DA">
        <w:rPr>
          <w:rFonts w:ascii="Cambria" w:hAnsi="Cambria"/>
          <w:sz w:val="24"/>
          <w:szCs w:val="24"/>
        </w:rPr>
        <w:t xml:space="preserve">have </w:t>
      </w:r>
      <w:r w:rsidR="00C95B5D">
        <w:rPr>
          <w:rFonts w:ascii="Cambria" w:hAnsi="Cambria"/>
          <w:sz w:val="24"/>
          <w:szCs w:val="24"/>
        </w:rPr>
        <w:t xml:space="preserve">long </w:t>
      </w:r>
      <w:r w:rsidR="00765D0F" w:rsidRPr="000E27DA">
        <w:rPr>
          <w:rFonts w:ascii="Cambria" w:hAnsi="Cambria"/>
          <w:sz w:val="24"/>
          <w:szCs w:val="24"/>
        </w:rPr>
        <w:t xml:space="preserve">been </w:t>
      </w:r>
      <w:r w:rsidR="00C95B5D">
        <w:rPr>
          <w:rFonts w:ascii="Cambria" w:hAnsi="Cambria"/>
          <w:sz w:val="24"/>
          <w:szCs w:val="24"/>
        </w:rPr>
        <w:t>established</w:t>
      </w:r>
      <w:r w:rsidR="00765D0F" w:rsidRPr="000E27DA">
        <w:rPr>
          <w:rFonts w:ascii="Cambria" w:hAnsi="Cambria"/>
          <w:sz w:val="24"/>
          <w:szCs w:val="24"/>
        </w:rPr>
        <w:t xml:space="preserve"> as national courses for national purposes. </w:t>
      </w:r>
      <w:r w:rsidR="00F575A8">
        <w:rPr>
          <w:rFonts w:ascii="Cambria" w:hAnsi="Cambria"/>
          <w:sz w:val="24"/>
          <w:szCs w:val="24"/>
        </w:rPr>
        <w:t xml:space="preserve"> They are different lengths, taught in each state’s native tongue, have different entrance requirements, are accredited by different types of authorities, and confer different benefits upon graduates.</w:t>
      </w:r>
    </w:p>
    <w:p w14:paraId="58FEC872" w14:textId="77777777" w:rsidR="00765D0F" w:rsidRPr="000E27DA" w:rsidRDefault="00765D0F" w:rsidP="00870B6A">
      <w:pPr>
        <w:spacing w:after="0" w:line="240" w:lineRule="auto"/>
        <w:contextualSpacing/>
        <w:jc w:val="both"/>
        <w:rPr>
          <w:rFonts w:ascii="Cambria" w:hAnsi="Cambria"/>
          <w:sz w:val="24"/>
          <w:szCs w:val="24"/>
        </w:rPr>
      </w:pPr>
    </w:p>
    <w:p w14:paraId="415C9E99" w14:textId="3F0D4D74" w:rsidR="00F575A8" w:rsidRDefault="00765D0F" w:rsidP="00870B6A">
      <w:pPr>
        <w:spacing w:after="0" w:line="240" w:lineRule="auto"/>
        <w:contextualSpacing/>
        <w:jc w:val="both"/>
        <w:rPr>
          <w:rFonts w:ascii="Cambria" w:hAnsi="Cambria"/>
          <w:sz w:val="24"/>
          <w:szCs w:val="24"/>
        </w:rPr>
      </w:pPr>
      <w:r w:rsidRPr="000E27DA">
        <w:rPr>
          <w:rFonts w:ascii="Cambria" w:hAnsi="Cambria"/>
          <w:sz w:val="24"/>
          <w:szCs w:val="24"/>
        </w:rPr>
        <w:t>We have argued that</w:t>
      </w:r>
      <w:r w:rsidR="00C95B5D">
        <w:rPr>
          <w:rFonts w:ascii="Cambria" w:hAnsi="Cambria"/>
          <w:sz w:val="24"/>
          <w:szCs w:val="24"/>
        </w:rPr>
        <w:t xml:space="preserve"> the </w:t>
      </w:r>
      <w:r w:rsidRPr="000E27DA">
        <w:rPr>
          <w:rFonts w:ascii="Cambria" w:hAnsi="Cambria"/>
          <w:sz w:val="24"/>
          <w:szCs w:val="24"/>
        </w:rPr>
        <w:t>harmonization of the civilian sector in higher and vocational-technical education under the Bologna and Copenhagen Processes offer mechanisms that can be adapted to PME cooperation</w:t>
      </w:r>
      <w:r w:rsidR="00BB4213">
        <w:rPr>
          <w:rFonts w:ascii="Cambria" w:hAnsi="Cambria"/>
          <w:sz w:val="24"/>
          <w:szCs w:val="24"/>
        </w:rPr>
        <w:t>—particularly as these PME systems have largely completed their Bologna reforms</w:t>
      </w:r>
      <w:r w:rsidRPr="000E27DA">
        <w:rPr>
          <w:rFonts w:ascii="Cambria" w:hAnsi="Cambria"/>
          <w:sz w:val="24"/>
          <w:szCs w:val="24"/>
        </w:rPr>
        <w:t xml:space="preserve">.  </w:t>
      </w:r>
      <w:r w:rsidR="00BB4213">
        <w:rPr>
          <w:rFonts w:ascii="Cambria" w:hAnsi="Cambria"/>
          <w:sz w:val="24"/>
          <w:szCs w:val="24"/>
        </w:rPr>
        <w:t>T</w:t>
      </w:r>
      <w:r w:rsidR="00F575A8">
        <w:rPr>
          <w:rFonts w:ascii="Cambria" w:hAnsi="Cambria"/>
          <w:sz w:val="24"/>
          <w:szCs w:val="24"/>
        </w:rPr>
        <w:t xml:space="preserve">he development of common competency descriptions for learning outcomes </w:t>
      </w:r>
      <w:r w:rsidR="005E5320" w:rsidRPr="000E27DA">
        <w:rPr>
          <w:rFonts w:ascii="Cambria" w:hAnsi="Cambria"/>
          <w:sz w:val="24"/>
          <w:szCs w:val="24"/>
        </w:rPr>
        <w:t>provide</w:t>
      </w:r>
      <w:r w:rsidR="00F575A8">
        <w:rPr>
          <w:rFonts w:ascii="Cambria" w:hAnsi="Cambria"/>
          <w:sz w:val="24"/>
          <w:szCs w:val="24"/>
        </w:rPr>
        <w:t>s</w:t>
      </w:r>
      <w:r w:rsidR="005E5320" w:rsidRPr="000E27DA">
        <w:rPr>
          <w:rFonts w:ascii="Cambria" w:hAnsi="Cambria"/>
          <w:sz w:val="24"/>
          <w:szCs w:val="24"/>
        </w:rPr>
        <w:t xml:space="preserve"> a Bologna-Copenhagen-inspired way to </w:t>
      </w:r>
      <w:r w:rsidR="00BB4213">
        <w:rPr>
          <w:rFonts w:ascii="Cambria" w:hAnsi="Cambria"/>
          <w:sz w:val="24"/>
          <w:szCs w:val="24"/>
        </w:rPr>
        <w:t>harmonize PME across borders</w:t>
      </w:r>
      <w:r w:rsidR="005E5320" w:rsidRPr="000E27DA">
        <w:rPr>
          <w:rFonts w:ascii="Cambria" w:hAnsi="Cambria"/>
          <w:sz w:val="24"/>
          <w:szCs w:val="24"/>
        </w:rPr>
        <w:t xml:space="preserve">.  </w:t>
      </w:r>
      <w:r w:rsidR="00F575A8">
        <w:rPr>
          <w:rFonts w:ascii="Cambria" w:hAnsi="Cambria"/>
          <w:sz w:val="24"/>
          <w:szCs w:val="24"/>
        </w:rPr>
        <w:t xml:space="preserve">Common competencies provide the basis for common courses for common purposes in a common language that are subject to common quality assurance standards.  </w:t>
      </w:r>
    </w:p>
    <w:p w14:paraId="193D1D9D" w14:textId="77777777" w:rsidR="00F575A8" w:rsidRDefault="00F575A8" w:rsidP="00870B6A">
      <w:pPr>
        <w:spacing w:after="0" w:line="240" w:lineRule="auto"/>
        <w:contextualSpacing/>
        <w:jc w:val="both"/>
        <w:rPr>
          <w:rFonts w:ascii="Cambria" w:hAnsi="Cambria"/>
          <w:sz w:val="24"/>
          <w:szCs w:val="24"/>
        </w:rPr>
      </w:pPr>
    </w:p>
    <w:p w14:paraId="58A5D531" w14:textId="6654604C" w:rsidR="00B26DF1" w:rsidRDefault="00BB4213" w:rsidP="00870B6A">
      <w:pPr>
        <w:spacing w:after="0" w:line="240" w:lineRule="auto"/>
        <w:contextualSpacing/>
        <w:jc w:val="both"/>
        <w:rPr>
          <w:rFonts w:ascii="Cambria" w:hAnsi="Cambria"/>
          <w:sz w:val="24"/>
          <w:szCs w:val="24"/>
        </w:rPr>
      </w:pPr>
      <w:r>
        <w:rPr>
          <w:rFonts w:ascii="Cambria" w:hAnsi="Cambria"/>
          <w:sz w:val="24"/>
          <w:szCs w:val="24"/>
        </w:rPr>
        <w:t>Nordic harmonization</w:t>
      </w:r>
      <w:r w:rsidR="005E5320" w:rsidRPr="000E27DA">
        <w:rPr>
          <w:rFonts w:ascii="Cambria" w:hAnsi="Cambria"/>
          <w:sz w:val="24"/>
          <w:szCs w:val="24"/>
        </w:rPr>
        <w:t xml:space="preserve"> can express itself in many ways and we discussed </w:t>
      </w:r>
      <w:r w:rsidR="00DA64C3">
        <w:rPr>
          <w:rFonts w:ascii="Cambria" w:hAnsi="Cambria"/>
          <w:sz w:val="24"/>
          <w:szCs w:val="24"/>
        </w:rPr>
        <w:t>three</w:t>
      </w:r>
      <w:r w:rsidR="005E5320" w:rsidRPr="000E27DA">
        <w:rPr>
          <w:rFonts w:ascii="Cambria" w:hAnsi="Cambria"/>
          <w:sz w:val="24"/>
          <w:szCs w:val="24"/>
        </w:rPr>
        <w:t>: a Nordic Defence College, standardization of the command and staff cou</w:t>
      </w:r>
      <w:r w:rsidR="00774A82" w:rsidRPr="000E27DA">
        <w:rPr>
          <w:rFonts w:ascii="Cambria" w:hAnsi="Cambria"/>
          <w:sz w:val="24"/>
          <w:szCs w:val="24"/>
        </w:rPr>
        <w:t>rses across the Nordic region,</w:t>
      </w:r>
      <w:r w:rsidR="005E5320" w:rsidRPr="000E27DA">
        <w:rPr>
          <w:rFonts w:ascii="Cambria" w:hAnsi="Cambria"/>
          <w:sz w:val="24"/>
          <w:szCs w:val="24"/>
        </w:rPr>
        <w:t xml:space="preserve"> </w:t>
      </w:r>
      <w:r w:rsidR="00DA64C3">
        <w:rPr>
          <w:rFonts w:ascii="Cambria" w:hAnsi="Cambria"/>
          <w:sz w:val="24"/>
          <w:szCs w:val="24"/>
        </w:rPr>
        <w:t>and a core curriculum of</w:t>
      </w:r>
      <w:r w:rsidR="00774A82" w:rsidRPr="000E27DA">
        <w:rPr>
          <w:rFonts w:ascii="Cambria" w:hAnsi="Cambria"/>
          <w:sz w:val="24"/>
          <w:szCs w:val="24"/>
        </w:rPr>
        <w:t xml:space="preserve"> common courses</w:t>
      </w:r>
      <w:r w:rsidR="005E5320" w:rsidRPr="000E27DA">
        <w:rPr>
          <w:rFonts w:ascii="Cambria" w:hAnsi="Cambria"/>
          <w:sz w:val="24"/>
          <w:szCs w:val="24"/>
        </w:rPr>
        <w:t xml:space="preserve">.  </w:t>
      </w:r>
      <w:r w:rsidR="00A75F18">
        <w:rPr>
          <w:rFonts w:ascii="Cambria" w:hAnsi="Cambria"/>
          <w:sz w:val="24"/>
          <w:szCs w:val="24"/>
        </w:rPr>
        <w:t>Each</w:t>
      </w:r>
      <w:r w:rsidR="00100FF2" w:rsidRPr="000E27DA">
        <w:rPr>
          <w:rFonts w:ascii="Cambria" w:hAnsi="Cambria"/>
          <w:sz w:val="24"/>
          <w:szCs w:val="24"/>
        </w:rPr>
        <w:t xml:space="preserve"> presents its own unique mix of benefits and liabilities, as well as potenti</w:t>
      </w:r>
      <w:r w:rsidR="005475A5" w:rsidRPr="000E27DA">
        <w:rPr>
          <w:rFonts w:ascii="Cambria" w:hAnsi="Cambria"/>
          <w:sz w:val="24"/>
          <w:szCs w:val="24"/>
        </w:rPr>
        <w:t xml:space="preserve">al for further reform.  </w:t>
      </w:r>
      <w:r w:rsidR="004916BE">
        <w:rPr>
          <w:rFonts w:ascii="Cambria" w:hAnsi="Cambria"/>
          <w:sz w:val="24"/>
          <w:szCs w:val="24"/>
        </w:rPr>
        <w:t xml:space="preserve">A Nordic Defence College offers the simplest expression of these principles, providing a single institution to foster the common competencies expected of a field-grade officer that will be able to participate effectively in multinational expeditionary operations.  A common curriculum delivered by each existing command and </w:t>
      </w:r>
      <w:proofErr w:type="gramStart"/>
      <w:r w:rsidR="004916BE">
        <w:rPr>
          <w:rFonts w:ascii="Cambria" w:hAnsi="Cambria"/>
          <w:sz w:val="24"/>
          <w:szCs w:val="24"/>
        </w:rPr>
        <w:t>staff college</w:t>
      </w:r>
      <w:proofErr w:type="gramEnd"/>
      <w:r w:rsidR="004916BE">
        <w:rPr>
          <w:rFonts w:ascii="Cambria" w:hAnsi="Cambria"/>
          <w:sz w:val="24"/>
          <w:szCs w:val="24"/>
        </w:rPr>
        <w:t xml:space="preserve"> would </w:t>
      </w:r>
      <w:r w:rsidR="00897067">
        <w:rPr>
          <w:rFonts w:ascii="Cambria" w:hAnsi="Cambria"/>
          <w:sz w:val="24"/>
          <w:szCs w:val="24"/>
        </w:rPr>
        <w:t xml:space="preserve">require each institution to change its curriculum and working language wholesale and require external oversight.  A common core curriculum would require partial reform and change in the working language of each institution and external oversight to assure quality.  </w:t>
      </w:r>
      <w:r w:rsidR="005475A5" w:rsidRPr="000E27DA">
        <w:rPr>
          <w:rFonts w:ascii="Cambria" w:hAnsi="Cambria"/>
          <w:sz w:val="24"/>
          <w:szCs w:val="24"/>
        </w:rPr>
        <w:t xml:space="preserve">NORDEFCO nations </w:t>
      </w:r>
      <w:r w:rsidR="00C7491F">
        <w:rPr>
          <w:rFonts w:ascii="Cambria" w:hAnsi="Cambria"/>
          <w:sz w:val="24"/>
          <w:szCs w:val="24"/>
        </w:rPr>
        <w:t>are examining</w:t>
      </w:r>
      <w:r w:rsidR="005475A5" w:rsidRPr="000E27DA">
        <w:rPr>
          <w:rFonts w:ascii="Cambria" w:hAnsi="Cambria"/>
          <w:sz w:val="24"/>
          <w:szCs w:val="24"/>
        </w:rPr>
        <w:t xml:space="preserve"> these principles and institutional proposals as they consider how to deepen their cooperation in PME.</w:t>
      </w:r>
      <w:r w:rsidR="00B26DF1">
        <w:rPr>
          <w:rFonts w:ascii="Cambria" w:hAnsi="Cambria"/>
          <w:sz w:val="24"/>
          <w:szCs w:val="24"/>
        </w:rPr>
        <w:t xml:space="preserve">  </w:t>
      </w:r>
      <w:r w:rsidR="00C7491F">
        <w:rPr>
          <w:rFonts w:ascii="Cambria" w:hAnsi="Cambria"/>
          <w:sz w:val="24"/>
          <w:szCs w:val="24"/>
        </w:rPr>
        <w:t>O</w:t>
      </w:r>
      <w:r w:rsidR="00C95B5D">
        <w:rPr>
          <w:rFonts w:ascii="Cambria" w:hAnsi="Cambria"/>
          <w:sz w:val="24"/>
          <w:szCs w:val="24"/>
        </w:rPr>
        <w:t>ther groups of strategically proximate NATO nations, such as those of central Europe and southeastern Europe</w:t>
      </w:r>
      <w:r w:rsidR="00C7491F">
        <w:rPr>
          <w:rFonts w:ascii="Cambria" w:hAnsi="Cambria"/>
          <w:sz w:val="24"/>
          <w:szCs w:val="24"/>
        </w:rPr>
        <w:t>, should follow suit</w:t>
      </w:r>
      <w:r w:rsidR="00C95B5D">
        <w:rPr>
          <w:rFonts w:ascii="Cambria" w:hAnsi="Cambria"/>
          <w:sz w:val="24"/>
          <w:szCs w:val="24"/>
        </w:rPr>
        <w:t>.</w:t>
      </w:r>
      <w:r w:rsidR="00C95B5D">
        <w:rPr>
          <w:rStyle w:val="FootnoteReference"/>
          <w:rFonts w:ascii="Cambria" w:hAnsi="Cambria"/>
          <w:sz w:val="24"/>
          <w:szCs w:val="24"/>
        </w:rPr>
        <w:footnoteReference w:id="44"/>
      </w:r>
      <w:r w:rsidR="00C95B5D">
        <w:rPr>
          <w:rFonts w:ascii="Cambria" w:hAnsi="Cambria"/>
          <w:sz w:val="24"/>
          <w:szCs w:val="24"/>
        </w:rPr>
        <w:t xml:space="preserve">  </w:t>
      </w:r>
    </w:p>
    <w:p w14:paraId="6CF0ABBD" w14:textId="77777777" w:rsidR="00B26DF1" w:rsidRDefault="00B26DF1" w:rsidP="00870B6A">
      <w:pPr>
        <w:spacing w:after="0" w:line="240" w:lineRule="auto"/>
        <w:contextualSpacing/>
        <w:jc w:val="both"/>
        <w:rPr>
          <w:rFonts w:ascii="Cambria" w:hAnsi="Cambria"/>
          <w:sz w:val="24"/>
          <w:szCs w:val="24"/>
        </w:rPr>
      </w:pPr>
    </w:p>
    <w:p w14:paraId="67F963EC" w14:textId="77777777" w:rsidR="00897067" w:rsidRPr="00897067" w:rsidRDefault="00897067" w:rsidP="00870B6A">
      <w:pPr>
        <w:spacing w:after="0" w:line="240" w:lineRule="auto"/>
        <w:contextualSpacing/>
        <w:jc w:val="both"/>
        <w:rPr>
          <w:rFonts w:ascii="Cambria" w:hAnsi="Cambria"/>
          <w:i/>
          <w:sz w:val="24"/>
          <w:szCs w:val="24"/>
        </w:rPr>
      </w:pPr>
      <w:r w:rsidRPr="00897067">
        <w:rPr>
          <w:rFonts w:ascii="Cambria" w:hAnsi="Cambria"/>
          <w:i/>
          <w:sz w:val="24"/>
          <w:szCs w:val="24"/>
        </w:rPr>
        <w:t>A Role for NATO</w:t>
      </w:r>
    </w:p>
    <w:p w14:paraId="657B5516" w14:textId="77777777" w:rsidR="00C95B5D" w:rsidRDefault="00B26DF1" w:rsidP="00870B6A">
      <w:pPr>
        <w:spacing w:after="0" w:line="240" w:lineRule="auto"/>
        <w:contextualSpacing/>
        <w:jc w:val="both"/>
        <w:rPr>
          <w:rFonts w:ascii="Cambria" w:hAnsi="Cambria"/>
          <w:sz w:val="24"/>
          <w:szCs w:val="24"/>
        </w:rPr>
      </w:pPr>
      <w:r>
        <w:rPr>
          <w:rFonts w:ascii="Cambria" w:hAnsi="Cambria"/>
          <w:sz w:val="24"/>
          <w:szCs w:val="24"/>
        </w:rPr>
        <w:t xml:space="preserve">That cooperation is much more likely to take place within subsets of Allies does not mean that the Alliance should play no role.  NATO institutions and processes can enable, facilitate, and encourage reform in PME that increases the capabilities and competence of officers who will assume important staff functions when the next crisis erupts.  It can do so in three ways: promoting the NATO reference curriculum for intermediate PME, increasing the role of the annual Conference of Commandants, and </w:t>
      </w:r>
      <w:r w:rsidR="00422606">
        <w:rPr>
          <w:rFonts w:ascii="Cambria" w:hAnsi="Cambria"/>
          <w:sz w:val="24"/>
          <w:szCs w:val="24"/>
        </w:rPr>
        <w:t xml:space="preserve">consistently </w:t>
      </w:r>
      <w:r>
        <w:rPr>
          <w:rFonts w:ascii="Cambria" w:hAnsi="Cambria"/>
          <w:sz w:val="24"/>
          <w:szCs w:val="24"/>
        </w:rPr>
        <w:t xml:space="preserve">including NATO’s </w:t>
      </w:r>
      <w:r w:rsidR="00422606">
        <w:rPr>
          <w:rFonts w:ascii="Cambria" w:hAnsi="Cambria"/>
          <w:sz w:val="24"/>
          <w:szCs w:val="24"/>
        </w:rPr>
        <w:t>skill</w:t>
      </w:r>
      <w:r>
        <w:rPr>
          <w:rFonts w:ascii="Cambria" w:hAnsi="Cambria"/>
          <w:sz w:val="24"/>
          <w:szCs w:val="24"/>
        </w:rPr>
        <w:t xml:space="preserve"> shortfalls in the list of gaps that Smart Defence is intended to correct.</w:t>
      </w:r>
    </w:p>
    <w:p w14:paraId="477C0C9A" w14:textId="77777777" w:rsidR="00B26DF1" w:rsidRDefault="00B26DF1" w:rsidP="00870B6A">
      <w:pPr>
        <w:spacing w:after="0" w:line="240" w:lineRule="auto"/>
        <w:contextualSpacing/>
        <w:jc w:val="both"/>
        <w:rPr>
          <w:rFonts w:ascii="Cambria" w:hAnsi="Cambria"/>
          <w:sz w:val="24"/>
          <w:szCs w:val="24"/>
        </w:rPr>
      </w:pPr>
    </w:p>
    <w:p w14:paraId="7CFC4117" w14:textId="77777777" w:rsidR="00B26DF1" w:rsidRPr="00C27EF2" w:rsidRDefault="00D66361" w:rsidP="00870B6A">
      <w:pPr>
        <w:spacing w:after="0" w:line="240" w:lineRule="auto"/>
        <w:contextualSpacing/>
        <w:jc w:val="both"/>
        <w:rPr>
          <w:rFonts w:ascii="Cambria" w:hAnsi="Cambria"/>
          <w:i/>
          <w:sz w:val="24"/>
          <w:szCs w:val="24"/>
        </w:rPr>
      </w:pPr>
      <w:r w:rsidRPr="00C27EF2">
        <w:rPr>
          <w:rFonts w:ascii="Cambria" w:hAnsi="Cambria"/>
          <w:i/>
          <w:sz w:val="24"/>
          <w:szCs w:val="24"/>
        </w:rPr>
        <w:t>Pro</w:t>
      </w:r>
      <w:r w:rsidR="00C27EF2" w:rsidRPr="00C27EF2">
        <w:rPr>
          <w:rFonts w:ascii="Cambria" w:hAnsi="Cambria"/>
          <w:i/>
          <w:sz w:val="24"/>
          <w:szCs w:val="24"/>
        </w:rPr>
        <w:t>moting the Reference Curriculum</w:t>
      </w:r>
      <w:r w:rsidRPr="00C27EF2">
        <w:rPr>
          <w:rFonts w:ascii="Cambria" w:hAnsi="Cambria"/>
          <w:i/>
          <w:sz w:val="24"/>
          <w:szCs w:val="24"/>
        </w:rPr>
        <w:t xml:space="preserve">  </w:t>
      </w:r>
    </w:p>
    <w:p w14:paraId="745A04B1" w14:textId="77777777" w:rsidR="00B26DF1" w:rsidRDefault="00C27EF2" w:rsidP="00870B6A">
      <w:pPr>
        <w:spacing w:after="0" w:line="240" w:lineRule="auto"/>
        <w:contextualSpacing/>
        <w:jc w:val="both"/>
      </w:pPr>
      <w:r>
        <w:rPr>
          <w:rFonts w:ascii="Cambria" w:eastAsia="Times New Roman" w:hAnsi="Cambria"/>
          <w:bCs/>
          <w:sz w:val="24"/>
          <w:szCs w:val="24"/>
        </w:rPr>
        <w:t>In 2011, a multinational team of PME faculty under the auspices of the Canadian Defence Academy created a reference curriculum for pre-commissioning, junior officer, and intermediate-level PME on behalf of NATO and the Partnership for Peace Consortium of Defence Academies and Security Studies Institutes.</w:t>
      </w:r>
      <w:r>
        <w:rPr>
          <w:rStyle w:val="FootnoteReference"/>
          <w:rFonts w:asciiTheme="majorHAnsi" w:hAnsiTheme="majorHAnsi"/>
          <w:sz w:val="24"/>
          <w:szCs w:val="24"/>
        </w:rPr>
        <w:footnoteReference w:id="45"/>
      </w:r>
      <w:r>
        <w:rPr>
          <w:rFonts w:ascii="Cambria" w:eastAsia="Times New Roman" w:hAnsi="Cambria"/>
          <w:bCs/>
          <w:sz w:val="24"/>
          <w:szCs w:val="24"/>
        </w:rPr>
        <w:t xml:space="preserve">  </w:t>
      </w:r>
      <w:r w:rsidR="00CA684D">
        <w:rPr>
          <w:rFonts w:ascii="Cambria" w:eastAsia="Times New Roman" w:hAnsi="Cambria"/>
          <w:bCs/>
          <w:sz w:val="24"/>
          <w:szCs w:val="24"/>
        </w:rPr>
        <w:t xml:space="preserve">It addresses developing competencies in operational-level processes, command and leadership, and defense and security studies.  </w:t>
      </w:r>
      <w:r>
        <w:rPr>
          <w:rFonts w:ascii="Cambria" w:eastAsia="Times New Roman" w:hAnsi="Cambria"/>
          <w:bCs/>
          <w:sz w:val="24"/>
          <w:szCs w:val="24"/>
        </w:rPr>
        <w:t xml:space="preserve">It was intended to “provide </w:t>
      </w:r>
      <w:r w:rsidRPr="00C27EF2">
        <w:rPr>
          <w:rFonts w:ascii="Cambria" w:eastAsia="Times New Roman" w:hAnsi="Cambria"/>
          <w:bCs/>
          <w:i/>
          <w:sz w:val="24"/>
          <w:szCs w:val="24"/>
        </w:rPr>
        <w:t>partner</w:t>
      </w:r>
      <w:r>
        <w:rPr>
          <w:rFonts w:ascii="Cambria" w:eastAsia="Times New Roman" w:hAnsi="Cambria"/>
          <w:bCs/>
          <w:sz w:val="24"/>
          <w:szCs w:val="24"/>
        </w:rPr>
        <w:t xml:space="preserve"> countries with in-depth learning objectives and curriculum support for academic courses related to officer professional military education.”</w:t>
      </w:r>
      <w:r>
        <w:rPr>
          <w:rStyle w:val="FootnoteReference"/>
          <w:rFonts w:ascii="Cambria" w:eastAsia="Times New Roman" w:hAnsi="Cambria"/>
          <w:bCs/>
          <w:sz w:val="24"/>
          <w:szCs w:val="24"/>
        </w:rPr>
        <w:footnoteReference w:id="46"/>
      </w:r>
      <w:r>
        <w:rPr>
          <w:rFonts w:ascii="Cambria" w:eastAsia="Times New Roman" w:hAnsi="Cambria"/>
          <w:bCs/>
          <w:sz w:val="24"/>
          <w:szCs w:val="24"/>
        </w:rPr>
        <w:t xml:space="preserve">  </w:t>
      </w:r>
      <w:r w:rsidR="00422606">
        <w:rPr>
          <w:rFonts w:ascii="Cambria" w:eastAsia="Times New Roman" w:hAnsi="Cambria"/>
          <w:bCs/>
          <w:sz w:val="24"/>
          <w:szCs w:val="24"/>
        </w:rPr>
        <w:t>While certainly useful for partner nations, t</w:t>
      </w:r>
      <w:r>
        <w:rPr>
          <w:rFonts w:ascii="Cambria" w:eastAsia="Times New Roman" w:hAnsi="Cambria"/>
          <w:bCs/>
          <w:sz w:val="24"/>
          <w:szCs w:val="24"/>
        </w:rPr>
        <w:t xml:space="preserve">he command and staff colleges of NATO </w:t>
      </w:r>
      <w:r w:rsidRPr="00422606">
        <w:rPr>
          <w:rFonts w:ascii="Cambria" w:eastAsia="Times New Roman" w:hAnsi="Cambria"/>
          <w:bCs/>
          <w:i/>
          <w:sz w:val="24"/>
          <w:szCs w:val="24"/>
        </w:rPr>
        <w:t>members</w:t>
      </w:r>
      <w:r>
        <w:rPr>
          <w:rFonts w:ascii="Cambria" w:eastAsia="Times New Roman" w:hAnsi="Cambria"/>
          <w:bCs/>
          <w:sz w:val="24"/>
          <w:szCs w:val="24"/>
        </w:rPr>
        <w:t xml:space="preserve"> should pay even more heed </w:t>
      </w:r>
      <w:r w:rsidR="003D1E04">
        <w:rPr>
          <w:rFonts w:ascii="Cambria" w:eastAsia="Times New Roman" w:hAnsi="Cambria"/>
          <w:bCs/>
          <w:sz w:val="24"/>
          <w:szCs w:val="24"/>
        </w:rPr>
        <w:t xml:space="preserve">to </w:t>
      </w:r>
      <w:r>
        <w:rPr>
          <w:rFonts w:ascii="Cambria" w:eastAsia="Times New Roman" w:hAnsi="Cambria"/>
          <w:bCs/>
          <w:sz w:val="24"/>
          <w:szCs w:val="24"/>
        </w:rPr>
        <w:t xml:space="preserve">this curriculum.  Indeed, the curriculum ought to the basis for developing Alliance-wide common courses for common purposes and be updated on a regular basis to account for strategic, operational, and doctrinal developments within and across the Alliance.  </w:t>
      </w:r>
      <w:r w:rsidR="00422606">
        <w:rPr>
          <w:rFonts w:ascii="Cambria" w:eastAsia="Times New Roman" w:hAnsi="Cambria"/>
          <w:bCs/>
          <w:sz w:val="24"/>
          <w:szCs w:val="24"/>
        </w:rPr>
        <w:t>In this way NATO can establish competencies for officers who will populate its staff positions and enable the personnel offices of member states to assign appropriately educated and trained officers that will not require on-the-job training when crises erupt.</w:t>
      </w:r>
    </w:p>
    <w:p w14:paraId="3C72E586" w14:textId="77777777" w:rsidR="00B26DF1" w:rsidRDefault="00B26DF1" w:rsidP="00870B6A">
      <w:pPr>
        <w:spacing w:after="0" w:line="240" w:lineRule="auto"/>
        <w:contextualSpacing/>
        <w:jc w:val="both"/>
      </w:pPr>
    </w:p>
    <w:p w14:paraId="1EDC1CD3" w14:textId="77777777" w:rsidR="00AC33BC" w:rsidRPr="0081429F" w:rsidRDefault="00AC33BC" w:rsidP="00870B6A">
      <w:pPr>
        <w:spacing w:after="0" w:line="240" w:lineRule="auto"/>
        <w:contextualSpacing/>
        <w:jc w:val="both"/>
        <w:rPr>
          <w:rFonts w:asciiTheme="majorHAnsi" w:hAnsiTheme="majorHAnsi"/>
          <w:i/>
          <w:sz w:val="24"/>
          <w:szCs w:val="24"/>
        </w:rPr>
      </w:pPr>
      <w:r w:rsidRPr="0081429F">
        <w:rPr>
          <w:rFonts w:asciiTheme="majorHAnsi" w:hAnsiTheme="majorHAnsi"/>
          <w:i/>
          <w:sz w:val="24"/>
          <w:szCs w:val="24"/>
        </w:rPr>
        <w:t>Conference of Commandants</w:t>
      </w:r>
    </w:p>
    <w:p w14:paraId="7D4A87A4" w14:textId="77777777" w:rsidR="00AC33BC" w:rsidRPr="0081429F" w:rsidRDefault="00AC33BC" w:rsidP="00870B6A">
      <w:pPr>
        <w:spacing w:after="0" w:line="240" w:lineRule="auto"/>
        <w:contextualSpacing/>
        <w:jc w:val="both"/>
        <w:rPr>
          <w:rFonts w:asciiTheme="majorHAnsi" w:hAnsiTheme="majorHAnsi"/>
          <w:sz w:val="24"/>
          <w:szCs w:val="24"/>
        </w:rPr>
      </w:pPr>
      <w:r w:rsidRPr="0081429F">
        <w:rPr>
          <w:rFonts w:asciiTheme="majorHAnsi" w:hAnsiTheme="majorHAnsi"/>
          <w:sz w:val="24"/>
          <w:szCs w:val="24"/>
        </w:rPr>
        <w:t>The commandants of the command and staff colleges of the NATO nations and partners gather annually to promote cooperation</w:t>
      </w:r>
      <w:r w:rsidR="00422606">
        <w:rPr>
          <w:rFonts w:asciiTheme="majorHAnsi" w:hAnsiTheme="majorHAnsi"/>
          <w:sz w:val="24"/>
          <w:szCs w:val="24"/>
        </w:rPr>
        <w:t>,</w:t>
      </w:r>
      <w:r w:rsidRPr="0081429F">
        <w:rPr>
          <w:rFonts w:asciiTheme="majorHAnsi" w:hAnsiTheme="majorHAnsi"/>
          <w:sz w:val="24"/>
          <w:szCs w:val="24"/>
        </w:rPr>
        <w:t xml:space="preserve"> exchange information and best practices</w:t>
      </w:r>
      <w:r w:rsidR="00422606">
        <w:rPr>
          <w:rFonts w:asciiTheme="majorHAnsi" w:hAnsiTheme="majorHAnsi"/>
          <w:sz w:val="24"/>
          <w:szCs w:val="24"/>
        </w:rPr>
        <w:t xml:space="preserve">, and thereby </w:t>
      </w:r>
      <w:r w:rsidRPr="0081429F">
        <w:rPr>
          <w:rFonts w:asciiTheme="majorHAnsi" w:hAnsiTheme="majorHAnsi"/>
          <w:sz w:val="24"/>
          <w:szCs w:val="24"/>
        </w:rPr>
        <w:t>improve the curricula and pedagogical methods used in their institutions.  The event offers the opportunity to promote and socialize the principle of common courses for common purposes across the Alliance.  It also can provide the basis for working groups below the level of the commandants to undertake the work of harmonizi</w:t>
      </w:r>
      <w:r w:rsidR="00954625" w:rsidRPr="0081429F">
        <w:rPr>
          <w:rFonts w:asciiTheme="majorHAnsi" w:hAnsiTheme="majorHAnsi"/>
          <w:sz w:val="24"/>
          <w:szCs w:val="24"/>
        </w:rPr>
        <w:t>ng the curricula of the schools, their academic calendars, and perhaps a governance structure to monitor and assure the quality of the education provided to the officers of NATO nations.</w:t>
      </w:r>
    </w:p>
    <w:p w14:paraId="2F42993D" w14:textId="77777777" w:rsidR="00954625" w:rsidRPr="0081429F" w:rsidRDefault="00954625" w:rsidP="00870B6A">
      <w:pPr>
        <w:spacing w:after="0" w:line="240" w:lineRule="auto"/>
        <w:contextualSpacing/>
        <w:jc w:val="both"/>
        <w:rPr>
          <w:rFonts w:asciiTheme="majorHAnsi" w:hAnsiTheme="majorHAnsi"/>
          <w:sz w:val="24"/>
          <w:szCs w:val="24"/>
        </w:rPr>
      </w:pPr>
    </w:p>
    <w:p w14:paraId="28FD79FA" w14:textId="77777777" w:rsidR="00954625" w:rsidRPr="0081429F" w:rsidRDefault="0081429F" w:rsidP="00870B6A">
      <w:pPr>
        <w:spacing w:after="0" w:line="240" w:lineRule="auto"/>
        <w:contextualSpacing/>
        <w:jc w:val="both"/>
        <w:rPr>
          <w:rFonts w:asciiTheme="majorHAnsi" w:hAnsiTheme="majorHAnsi"/>
          <w:i/>
          <w:sz w:val="24"/>
          <w:szCs w:val="24"/>
        </w:rPr>
      </w:pPr>
      <w:r w:rsidRPr="0081429F">
        <w:rPr>
          <w:rFonts w:asciiTheme="majorHAnsi" w:hAnsiTheme="majorHAnsi"/>
          <w:i/>
          <w:sz w:val="24"/>
          <w:szCs w:val="24"/>
        </w:rPr>
        <w:t>Alliance</w:t>
      </w:r>
      <w:r w:rsidR="00954625" w:rsidRPr="0081429F">
        <w:rPr>
          <w:rFonts w:asciiTheme="majorHAnsi" w:hAnsiTheme="majorHAnsi"/>
          <w:i/>
          <w:sz w:val="24"/>
          <w:szCs w:val="24"/>
        </w:rPr>
        <w:t xml:space="preserve"> Leadership</w:t>
      </w:r>
    </w:p>
    <w:p w14:paraId="1F3D23DE" w14:textId="77777777" w:rsidR="00F96028" w:rsidRDefault="00954625" w:rsidP="00870B6A">
      <w:pPr>
        <w:spacing w:after="0" w:line="240" w:lineRule="auto"/>
        <w:contextualSpacing/>
        <w:jc w:val="both"/>
        <w:rPr>
          <w:rFonts w:asciiTheme="majorHAnsi" w:hAnsiTheme="majorHAnsi"/>
          <w:sz w:val="24"/>
          <w:szCs w:val="24"/>
        </w:rPr>
      </w:pPr>
      <w:r w:rsidRPr="0081429F">
        <w:rPr>
          <w:rFonts w:asciiTheme="majorHAnsi" w:hAnsiTheme="majorHAnsi"/>
          <w:sz w:val="24"/>
          <w:szCs w:val="24"/>
        </w:rPr>
        <w:t xml:space="preserve">Finally, the leadership of the Alliance should keep the quality of personnel assigned to NATO billets in the forefront of the Smart Defence agenda.  Ambassador Daalder and Admiral </w:t>
      </w:r>
      <w:proofErr w:type="spellStart"/>
      <w:r w:rsidRPr="0081429F">
        <w:rPr>
          <w:rFonts w:asciiTheme="majorHAnsi" w:hAnsiTheme="majorHAnsi"/>
          <w:sz w:val="24"/>
          <w:szCs w:val="24"/>
        </w:rPr>
        <w:t>Stavridis</w:t>
      </w:r>
      <w:proofErr w:type="spellEnd"/>
      <w:r w:rsidRPr="0081429F">
        <w:rPr>
          <w:rFonts w:asciiTheme="majorHAnsi" w:hAnsiTheme="majorHAnsi"/>
          <w:sz w:val="24"/>
          <w:szCs w:val="24"/>
        </w:rPr>
        <w:t xml:space="preserve"> candidly and forcefully highlighted the dea</w:t>
      </w:r>
      <w:r w:rsidR="00422606">
        <w:rPr>
          <w:rFonts w:asciiTheme="majorHAnsi" w:hAnsiTheme="majorHAnsi"/>
          <w:sz w:val="24"/>
          <w:szCs w:val="24"/>
        </w:rPr>
        <w:t>r</w:t>
      </w:r>
      <w:r w:rsidRPr="0081429F">
        <w:rPr>
          <w:rFonts w:asciiTheme="majorHAnsi" w:hAnsiTheme="majorHAnsi"/>
          <w:sz w:val="24"/>
          <w:szCs w:val="24"/>
        </w:rPr>
        <w:t>th of qualified staff officers populating the command structure of NATO and the degradation in operational effectiveness it caused in Operation Unified Protector</w:t>
      </w:r>
      <w:r w:rsidR="00422606">
        <w:rPr>
          <w:rFonts w:asciiTheme="majorHAnsi" w:hAnsiTheme="majorHAnsi"/>
          <w:sz w:val="24"/>
          <w:szCs w:val="24"/>
        </w:rPr>
        <w:t xml:space="preserve"> in high profile outlets such as </w:t>
      </w:r>
      <w:r w:rsidR="00422606" w:rsidRPr="00422606">
        <w:rPr>
          <w:rFonts w:asciiTheme="majorHAnsi" w:hAnsiTheme="majorHAnsi"/>
          <w:i/>
          <w:sz w:val="24"/>
          <w:szCs w:val="24"/>
        </w:rPr>
        <w:t>Foreign Affair</w:t>
      </w:r>
      <w:r w:rsidR="00A75F18">
        <w:rPr>
          <w:rFonts w:asciiTheme="majorHAnsi" w:hAnsiTheme="majorHAnsi"/>
          <w:i/>
          <w:sz w:val="24"/>
          <w:szCs w:val="24"/>
        </w:rPr>
        <w:t>s</w:t>
      </w:r>
      <w:r w:rsidR="00A75F18" w:rsidRPr="00A75F18">
        <w:rPr>
          <w:rFonts w:asciiTheme="majorHAnsi" w:hAnsiTheme="majorHAnsi"/>
          <w:sz w:val="24"/>
          <w:szCs w:val="24"/>
        </w:rPr>
        <w:t>,</w:t>
      </w:r>
      <w:r w:rsidR="00422606" w:rsidRPr="00A75F18">
        <w:rPr>
          <w:rFonts w:asciiTheme="majorHAnsi" w:hAnsiTheme="majorHAnsi"/>
          <w:sz w:val="24"/>
          <w:szCs w:val="24"/>
        </w:rPr>
        <w:t xml:space="preserve"> </w:t>
      </w:r>
      <w:r w:rsidR="00422606" w:rsidRPr="00422606">
        <w:rPr>
          <w:rFonts w:asciiTheme="majorHAnsi" w:hAnsiTheme="majorHAnsi"/>
          <w:i/>
          <w:sz w:val="24"/>
          <w:szCs w:val="24"/>
        </w:rPr>
        <w:t>The New York Times</w:t>
      </w:r>
      <w:r w:rsidR="00A75F18" w:rsidRPr="00A75F18">
        <w:rPr>
          <w:rFonts w:asciiTheme="majorHAnsi" w:hAnsiTheme="majorHAnsi"/>
          <w:sz w:val="24"/>
          <w:szCs w:val="24"/>
        </w:rPr>
        <w:t>, and Alliance forums</w:t>
      </w:r>
      <w:r w:rsidRPr="0081429F">
        <w:rPr>
          <w:rFonts w:asciiTheme="majorHAnsi" w:hAnsiTheme="majorHAnsi"/>
          <w:sz w:val="24"/>
          <w:szCs w:val="24"/>
        </w:rPr>
        <w:t xml:space="preserve">.  Both have left their positions and other NATO leaders must </w:t>
      </w:r>
      <w:r w:rsidR="00A75F18">
        <w:rPr>
          <w:rFonts w:asciiTheme="majorHAnsi" w:hAnsiTheme="majorHAnsi"/>
          <w:sz w:val="24"/>
          <w:szCs w:val="24"/>
        </w:rPr>
        <w:t xml:space="preserve">now </w:t>
      </w:r>
      <w:r w:rsidRPr="0081429F">
        <w:rPr>
          <w:rFonts w:asciiTheme="majorHAnsi" w:hAnsiTheme="majorHAnsi"/>
          <w:sz w:val="24"/>
          <w:szCs w:val="24"/>
        </w:rPr>
        <w:t xml:space="preserve">carry the banner. </w:t>
      </w:r>
    </w:p>
    <w:p w14:paraId="0795D065" w14:textId="77777777" w:rsidR="00F96028" w:rsidRDefault="00F96028" w:rsidP="00870B6A">
      <w:pPr>
        <w:spacing w:after="0" w:line="240" w:lineRule="auto"/>
        <w:contextualSpacing/>
        <w:jc w:val="both"/>
        <w:rPr>
          <w:rFonts w:asciiTheme="majorHAnsi" w:hAnsiTheme="majorHAnsi"/>
          <w:sz w:val="24"/>
          <w:szCs w:val="24"/>
        </w:rPr>
      </w:pPr>
    </w:p>
    <w:p w14:paraId="196876E1" w14:textId="77777777" w:rsidR="00E5538D" w:rsidRDefault="00954625" w:rsidP="00870B6A">
      <w:pPr>
        <w:spacing w:after="0" w:line="240" w:lineRule="auto"/>
        <w:contextualSpacing/>
        <w:jc w:val="both"/>
        <w:rPr>
          <w:rFonts w:asciiTheme="majorHAnsi" w:hAnsiTheme="majorHAnsi"/>
          <w:color w:val="000000"/>
          <w:sz w:val="24"/>
          <w:szCs w:val="24"/>
        </w:rPr>
      </w:pPr>
      <w:r w:rsidRPr="0081429F">
        <w:rPr>
          <w:rFonts w:asciiTheme="majorHAnsi" w:hAnsiTheme="majorHAnsi"/>
          <w:sz w:val="24"/>
          <w:szCs w:val="24"/>
        </w:rPr>
        <w:t xml:space="preserve">Secretary General Anders </w:t>
      </w:r>
      <w:proofErr w:type="spellStart"/>
      <w:r w:rsidRPr="0081429F">
        <w:rPr>
          <w:rFonts w:asciiTheme="majorHAnsi" w:hAnsiTheme="majorHAnsi"/>
          <w:sz w:val="24"/>
          <w:szCs w:val="24"/>
        </w:rPr>
        <w:t>Fogh</w:t>
      </w:r>
      <w:proofErr w:type="spellEnd"/>
      <w:r w:rsidRPr="0081429F">
        <w:rPr>
          <w:rFonts w:asciiTheme="majorHAnsi" w:hAnsiTheme="majorHAnsi"/>
          <w:sz w:val="24"/>
          <w:szCs w:val="24"/>
        </w:rPr>
        <w:t xml:space="preserve"> Rasmussen has promoted the Connected Forces Initiative</w:t>
      </w:r>
      <w:r w:rsidR="0081429F" w:rsidRPr="0081429F">
        <w:rPr>
          <w:rFonts w:asciiTheme="majorHAnsi" w:hAnsiTheme="majorHAnsi"/>
          <w:sz w:val="24"/>
          <w:szCs w:val="24"/>
        </w:rPr>
        <w:t xml:space="preserve"> to </w:t>
      </w:r>
      <w:r w:rsidR="00422606">
        <w:rPr>
          <w:rFonts w:asciiTheme="majorHAnsi" w:hAnsiTheme="majorHAnsi"/>
          <w:sz w:val="24"/>
          <w:szCs w:val="24"/>
        </w:rPr>
        <w:t xml:space="preserve">promote cooperation in the </w:t>
      </w:r>
      <w:r w:rsidR="00422606">
        <w:rPr>
          <w:rFonts w:asciiTheme="majorHAnsi" w:hAnsiTheme="majorHAnsi" w:cs="Arial"/>
          <w:color w:val="030303"/>
          <w:sz w:val="24"/>
          <w:szCs w:val="24"/>
          <w:shd w:val="clear" w:color="auto" w:fill="FFFFFF"/>
        </w:rPr>
        <w:t>education</w:t>
      </w:r>
      <w:r w:rsidR="0081429F" w:rsidRPr="0081429F">
        <w:rPr>
          <w:rFonts w:asciiTheme="majorHAnsi" w:hAnsiTheme="majorHAnsi" w:cs="Arial"/>
          <w:color w:val="030303"/>
          <w:sz w:val="24"/>
          <w:szCs w:val="24"/>
          <w:shd w:val="clear" w:color="auto" w:fill="FFFFFF"/>
        </w:rPr>
        <w:t xml:space="preserve"> and train</w:t>
      </w:r>
      <w:r w:rsidR="00422606">
        <w:rPr>
          <w:rFonts w:asciiTheme="majorHAnsi" w:hAnsiTheme="majorHAnsi" w:cs="Arial"/>
          <w:color w:val="030303"/>
          <w:sz w:val="24"/>
          <w:szCs w:val="24"/>
          <w:shd w:val="clear" w:color="auto" w:fill="FFFFFF"/>
        </w:rPr>
        <w:t>ing</w:t>
      </w:r>
      <w:r w:rsidR="0081429F" w:rsidRPr="0081429F">
        <w:rPr>
          <w:rFonts w:asciiTheme="majorHAnsi" w:hAnsiTheme="majorHAnsi" w:cs="Arial"/>
          <w:color w:val="030303"/>
          <w:sz w:val="24"/>
          <w:szCs w:val="24"/>
          <w:shd w:val="clear" w:color="auto" w:fill="FFFFFF"/>
        </w:rPr>
        <w:t xml:space="preserve"> </w:t>
      </w:r>
      <w:r w:rsidR="00422606">
        <w:rPr>
          <w:rFonts w:asciiTheme="majorHAnsi" w:hAnsiTheme="majorHAnsi" w:cs="Arial"/>
          <w:color w:val="030303"/>
          <w:sz w:val="24"/>
          <w:szCs w:val="24"/>
          <w:shd w:val="clear" w:color="auto" w:fill="FFFFFF"/>
        </w:rPr>
        <w:t>of</w:t>
      </w:r>
      <w:r w:rsidR="0081429F" w:rsidRPr="0081429F">
        <w:rPr>
          <w:rFonts w:asciiTheme="majorHAnsi" w:hAnsiTheme="majorHAnsi" w:cs="Arial"/>
          <w:color w:val="030303"/>
          <w:sz w:val="24"/>
          <w:szCs w:val="24"/>
          <w:shd w:val="clear" w:color="auto" w:fill="FFFFFF"/>
        </w:rPr>
        <w:t xml:space="preserve"> </w:t>
      </w:r>
      <w:r w:rsidR="00422606">
        <w:rPr>
          <w:rFonts w:asciiTheme="majorHAnsi" w:hAnsiTheme="majorHAnsi" w:cs="Arial"/>
          <w:color w:val="030303"/>
          <w:sz w:val="24"/>
          <w:szCs w:val="24"/>
          <w:shd w:val="clear" w:color="auto" w:fill="FFFFFF"/>
        </w:rPr>
        <w:t xml:space="preserve">the </w:t>
      </w:r>
      <w:r w:rsidR="0081429F" w:rsidRPr="0081429F">
        <w:rPr>
          <w:rFonts w:asciiTheme="majorHAnsi" w:hAnsiTheme="majorHAnsi" w:cs="Arial"/>
          <w:color w:val="030303"/>
          <w:sz w:val="24"/>
          <w:szCs w:val="24"/>
          <w:shd w:val="clear" w:color="auto" w:fill="FFFFFF"/>
        </w:rPr>
        <w:t>military personnel of NATO member states so that they can operate effectively in a multinational environment.</w:t>
      </w:r>
      <w:r w:rsidR="0081429F" w:rsidRPr="0081429F">
        <w:rPr>
          <w:rStyle w:val="FootnoteReference"/>
          <w:rFonts w:asciiTheme="majorHAnsi" w:hAnsiTheme="majorHAnsi"/>
          <w:color w:val="030303"/>
          <w:sz w:val="24"/>
          <w:szCs w:val="24"/>
          <w:shd w:val="clear" w:color="auto" w:fill="FFFFFF"/>
        </w:rPr>
        <w:t xml:space="preserve"> </w:t>
      </w:r>
      <w:r w:rsidR="0081429F" w:rsidRPr="0081429F">
        <w:rPr>
          <w:rStyle w:val="FootnoteReference"/>
          <w:rFonts w:asciiTheme="majorHAnsi" w:hAnsiTheme="majorHAnsi"/>
          <w:color w:val="030303"/>
          <w:sz w:val="24"/>
          <w:szCs w:val="24"/>
          <w:shd w:val="clear" w:color="auto" w:fill="FFFFFF"/>
        </w:rPr>
        <w:footnoteReference w:id="47"/>
      </w:r>
      <w:r w:rsidR="0081429F" w:rsidRPr="0081429F">
        <w:rPr>
          <w:rStyle w:val="FootnoteReference"/>
          <w:rFonts w:asciiTheme="majorHAnsi" w:hAnsiTheme="majorHAnsi"/>
          <w:color w:val="030303"/>
          <w:sz w:val="24"/>
          <w:szCs w:val="24"/>
          <w:shd w:val="clear" w:color="auto" w:fill="FFFFFF"/>
        </w:rPr>
        <w:t xml:space="preserve"> </w:t>
      </w:r>
      <w:r w:rsidR="0081429F" w:rsidRPr="0081429F">
        <w:rPr>
          <w:rStyle w:val="FootnoteReference"/>
          <w:rFonts w:asciiTheme="majorHAnsi" w:hAnsiTheme="majorHAnsi"/>
          <w:color w:val="030303"/>
          <w:sz w:val="24"/>
          <w:szCs w:val="24"/>
          <w:shd w:val="clear" w:color="auto" w:fill="FFFFFF"/>
          <w:vertAlign w:val="baseline"/>
        </w:rPr>
        <w:t xml:space="preserve"> Yet </w:t>
      </w:r>
      <w:proofErr w:type="gramStart"/>
      <w:r w:rsidR="0081429F" w:rsidRPr="0081429F">
        <w:rPr>
          <w:rFonts w:asciiTheme="majorHAnsi" w:hAnsiTheme="majorHAnsi"/>
          <w:color w:val="030303"/>
          <w:sz w:val="24"/>
          <w:szCs w:val="24"/>
          <w:shd w:val="clear" w:color="auto" w:fill="FFFFFF"/>
        </w:rPr>
        <w:t>his</w:t>
      </w:r>
      <w:proofErr w:type="gramEnd"/>
      <w:r w:rsidR="0081429F" w:rsidRPr="0081429F">
        <w:rPr>
          <w:rFonts w:asciiTheme="majorHAnsi" w:hAnsiTheme="majorHAnsi"/>
          <w:color w:val="030303"/>
          <w:sz w:val="24"/>
          <w:szCs w:val="24"/>
          <w:shd w:val="clear" w:color="auto" w:fill="FFFFFF"/>
        </w:rPr>
        <w:t xml:space="preserve"> comments </w:t>
      </w:r>
      <w:r w:rsidR="00684D1F">
        <w:rPr>
          <w:rFonts w:asciiTheme="majorHAnsi" w:hAnsiTheme="majorHAnsi"/>
          <w:color w:val="030303"/>
          <w:sz w:val="24"/>
          <w:szCs w:val="24"/>
          <w:shd w:val="clear" w:color="auto" w:fill="FFFFFF"/>
        </w:rPr>
        <w:t xml:space="preserve">have been limited </w:t>
      </w:r>
      <w:r w:rsidR="0081429F" w:rsidRPr="0081429F">
        <w:rPr>
          <w:rFonts w:asciiTheme="majorHAnsi" w:hAnsiTheme="majorHAnsi"/>
          <w:color w:val="030303"/>
          <w:sz w:val="24"/>
          <w:szCs w:val="24"/>
          <w:shd w:val="clear" w:color="auto" w:fill="FFFFFF"/>
        </w:rPr>
        <w:t>to promoting NATO schools and “</w:t>
      </w:r>
      <w:r w:rsidR="0081429F" w:rsidRPr="0081429F">
        <w:rPr>
          <w:rFonts w:asciiTheme="majorHAnsi" w:hAnsiTheme="majorHAnsi"/>
          <w:color w:val="000000"/>
          <w:sz w:val="24"/>
          <w:szCs w:val="24"/>
        </w:rPr>
        <w:t>how we can get even more value out of them.”</w:t>
      </w:r>
      <w:r w:rsidR="0081429F">
        <w:rPr>
          <w:rStyle w:val="FootnoteReference"/>
          <w:rFonts w:asciiTheme="majorHAnsi" w:hAnsiTheme="majorHAnsi"/>
          <w:color w:val="000000"/>
          <w:sz w:val="24"/>
          <w:szCs w:val="24"/>
        </w:rPr>
        <w:footnoteReference w:id="48"/>
      </w:r>
      <w:r w:rsidR="00684D1F">
        <w:rPr>
          <w:rFonts w:asciiTheme="majorHAnsi" w:hAnsiTheme="majorHAnsi"/>
          <w:color w:val="000000"/>
          <w:sz w:val="24"/>
          <w:szCs w:val="24"/>
        </w:rPr>
        <w:t xml:space="preserve"> </w:t>
      </w:r>
      <w:r w:rsidR="00A75F18">
        <w:rPr>
          <w:rFonts w:asciiTheme="majorHAnsi" w:hAnsiTheme="majorHAnsi"/>
          <w:color w:val="000000"/>
          <w:sz w:val="24"/>
          <w:szCs w:val="24"/>
        </w:rPr>
        <w:t xml:space="preserve">He has devoted much more time and energy to highlighting the budget and </w:t>
      </w:r>
      <w:r w:rsidR="003D1E04">
        <w:rPr>
          <w:rFonts w:asciiTheme="majorHAnsi" w:hAnsiTheme="majorHAnsi"/>
          <w:color w:val="000000"/>
          <w:sz w:val="24"/>
          <w:szCs w:val="24"/>
        </w:rPr>
        <w:t>hardware</w:t>
      </w:r>
      <w:r w:rsidR="00A75F18">
        <w:rPr>
          <w:rFonts w:asciiTheme="majorHAnsi" w:hAnsiTheme="majorHAnsi"/>
          <w:color w:val="000000"/>
          <w:sz w:val="24"/>
          <w:szCs w:val="24"/>
        </w:rPr>
        <w:t xml:space="preserve"> shortfalls of European Allies.</w:t>
      </w:r>
      <w:r w:rsidR="00A75F18">
        <w:rPr>
          <w:rStyle w:val="FootnoteReference"/>
          <w:rFonts w:asciiTheme="majorHAnsi" w:hAnsiTheme="majorHAnsi"/>
          <w:color w:val="000000"/>
          <w:sz w:val="24"/>
          <w:szCs w:val="24"/>
        </w:rPr>
        <w:footnoteReference w:id="49"/>
      </w:r>
      <w:r w:rsidR="00A75F18">
        <w:rPr>
          <w:rFonts w:asciiTheme="majorHAnsi" w:hAnsiTheme="majorHAnsi"/>
          <w:color w:val="000000"/>
          <w:sz w:val="24"/>
          <w:szCs w:val="24"/>
        </w:rPr>
        <w:t xml:space="preserve">  Yet </w:t>
      </w:r>
      <w:proofErr w:type="gramStart"/>
      <w:r w:rsidR="00A75F18">
        <w:rPr>
          <w:rFonts w:asciiTheme="majorHAnsi" w:hAnsiTheme="majorHAnsi"/>
          <w:color w:val="000000"/>
          <w:sz w:val="24"/>
          <w:szCs w:val="24"/>
        </w:rPr>
        <w:t>wars are fought by people</w:t>
      </w:r>
      <w:proofErr w:type="gramEnd"/>
      <w:r w:rsidR="00A75F18">
        <w:rPr>
          <w:rFonts w:asciiTheme="majorHAnsi" w:hAnsiTheme="majorHAnsi"/>
          <w:color w:val="000000"/>
          <w:sz w:val="24"/>
          <w:szCs w:val="24"/>
        </w:rPr>
        <w:t xml:space="preserve"> and the operational degradation caused by inadequate numbers of well-educated and </w:t>
      </w:r>
      <w:r w:rsidR="00F96028">
        <w:rPr>
          <w:rFonts w:asciiTheme="majorHAnsi" w:hAnsiTheme="majorHAnsi"/>
          <w:color w:val="000000"/>
          <w:sz w:val="24"/>
          <w:szCs w:val="24"/>
        </w:rPr>
        <w:t>appropriately-</w:t>
      </w:r>
      <w:r w:rsidR="00A75F18">
        <w:rPr>
          <w:rFonts w:asciiTheme="majorHAnsi" w:hAnsiTheme="majorHAnsi"/>
          <w:color w:val="000000"/>
          <w:sz w:val="24"/>
          <w:szCs w:val="24"/>
        </w:rPr>
        <w:t xml:space="preserve">trained staff officers was brought into full relief by Operation Unified Protector.  This frustrated American commanders perhaps even more than the expected Allied shortfalls in </w:t>
      </w:r>
      <w:r w:rsidR="00F96028">
        <w:rPr>
          <w:rFonts w:asciiTheme="majorHAnsi" w:hAnsiTheme="majorHAnsi"/>
          <w:color w:val="000000"/>
          <w:sz w:val="24"/>
          <w:szCs w:val="24"/>
        </w:rPr>
        <w:t>precision munitions, intelligence, surveillance, and reconnaissance capabilities,</w:t>
      </w:r>
      <w:r w:rsidR="00A75F18">
        <w:rPr>
          <w:rFonts w:asciiTheme="majorHAnsi" w:hAnsiTheme="majorHAnsi"/>
          <w:color w:val="000000"/>
          <w:sz w:val="24"/>
          <w:szCs w:val="24"/>
        </w:rPr>
        <w:t xml:space="preserve"> and aerial refueling aircraft.</w:t>
      </w:r>
      <w:r w:rsidR="00A75F18">
        <w:rPr>
          <w:rStyle w:val="FootnoteReference"/>
          <w:rFonts w:asciiTheme="majorHAnsi" w:hAnsiTheme="majorHAnsi"/>
          <w:color w:val="000000"/>
          <w:sz w:val="24"/>
          <w:szCs w:val="24"/>
        </w:rPr>
        <w:footnoteReference w:id="50"/>
      </w:r>
      <w:r w:rsidR="00A75F18">
        <w:rPr>
          <w:rFonts w:asciiTheme="majorHAnsi" w:hAnsiTheme="majorHAnsi"/>
          <w:color w:val="000000"/>
          <w:sz w:val="24"/>
          <w:szCs w:val="24"/>
        </w:rPr>
        <w:t xml:space="preserve">  </w:t>
      </w:r>
      <w:r w:rsidR="00C15727">
        <w:rPr>
          <w:rFonts w:asciiTheme="majorHAnsi" w:hAnsiTheme="majorHAnsi"/>
          <w:color w:val="000000"/>
          <w:sz w:val="24"/>
          <w:szCs w:val="24"/>
        </w:rPr>
        <w:t xml:space="preserve">In a time of austerity, </w:t>
      </w:r>
      <w:r w:rsidR="00504B82">
        <w:rPr>
          <w:rFonts w:asciiTheme="majorHAnsi" w:hAnsiTheme="majorHAnsi"/>
          <w:color w:val="000000"/>
          <w:sz w:val="24"/>
          <w:szCs w:val="24"/>
        </w:rPr>
        <w:t>the skill gap risks b</w:t>
      </w:r>
      <w:r w:rsidR="008E626B">
        <w:rPr>
          <w:rFonts w:asciiTheme="majorHAnsi" w:hAnsiTheme="majorHAnsi"/>
          <w:color w:val="000000"/>
          <w:sz w:val="24"/>
          <w:szCs w:val="24"/>
        </w:rPr>
        <w:t>eing overshadowed by the budget and</w:t>
      </w:r>
      <w:r w:rsidR="00504B82">
        <w:rPr>
          <w:rFonts w:asciiTheme="majorHAnsi" w:hAnsiTheme="majorHAnsi"/>
          <w:color w:val="000000"/>
          <w:sz w:val="24"/>
          <w:szCs w:val="24"/>
        </w:rPr>
        <w:t xml:space="preserve"> equipment gaps unless given priority and consistent attention by the Secretary General.  Smarter officers must be a consistent part of the Smart Defence agenda, not an afterthought</w:t>
      </w:r>
      <w:r w:rsidR="00BA758A">
        <w:rPr>
          <w:rFonts w:asciiTheme="majorHAnsi" w:hAnsiTheme="majorHAnsi"/>
          <w:color w:val="000000"/>
          <w:sz w:val="24"/>
          <w:szCs w:val="24"/>
        </w:rPr>
        <w:t xml:space="preserve">.  </w:t>
      </w:r>
    </w:p>
    <w:p w14:paraId="57A55474" w14:textId="77777777" w:rsidR="00E5538D" w:rsidRDefault="00E5538D" w:rsidP="00870B6A">
      <w:pPr>
        <w:spacing w:after="0" w:line="240" w:lineRule="auto"/>
        <w:contextualSpacing/>
        <w:jc w:val="both"/>
        <w:rPr>
          <w:rFonts w:asciiTheme="majorHAnsi" w:hAnsiTheme="majorHAnsi"/>
          <w:color w:val="000000"/>
          <w:sz w:val="24"/>
          <w:szCs w:val="24"/>
        </w:rPr>
      </w:pPr>
    </w:p>
    <w:p w14:paraId="7CA5C140" w14:textId="77777777" w:rsidR="00E5538D" w:rsidRDefault="00E5538D" w:rsidP="00870B6A">
      <w:pPr>
        <w:spacing w:after="0" w:line="240" w:lineRule="auto"/>
        <w:contextualSpacing/>
        <w:jc w:val="both"/>
        <w:rPr>
          <w:rFonts w:asciiTheme="majorHAnsi" w:hAnsiTheme="majorHAnsi"/>
          <w:color w:val="000000"/>
          <w:sz w:val="24"/>
          <w:szCs w:val="24"/>
        </w:rPr>
      </w:pPr>
      <w:r>
        <w:rPr>
          <w:rFonts w:asciiTheme="majorHAnsi" w:hAnsiTheme="majorHAnsi"/>
          <w:color w:val="000000"/>
          <w:sz w:val="24"/>
          <w:szCs w:val="24"/>
        </w:rPr>
        <w:t xml:space="preserve">This is perhaps the greatest danger of the current push for austerity.  </w:t>
      </w:r>
      <w:r w:rsidR="00C8210B">
        <w:rPr>
          <w:rFonts w:asciiTheme="majorHAnsi" w:hAnsiTheme="majorHAnsi"/>
          <w:color w:val="000000"/>
          <w:sz w:val="24"/>
          <w:szCs w:val="24"/>
        </w:rPr>
        <w:t xml:space="preserve">In the business of national and international security, high quality professional military education is cheap, relatively and absolutely.  Yet it is an easy place to cut the budget because its costs are invisible.  </w:t>
      </w:r>
      <w:r>
        <w:rPr>
          <w:rFonts w:asciiTheme="majorHAnsi" w:hAnsiTheme="majorHAnsi"/>
          <w:color w:val="000000"/>
          <w:sz w:val="24"/>
          <w:szCs w:val="24"/>
        </w:rPr>
        <w:t xml:space="preserve">The knowledge and competence of military personnel is not as easily </w:t>
      </w:r>
      <w:proofErr w:type="gramStart"/>
      <w:r>
        <w:rPr>
          <w:rFonts w:asciiTheme="majorHAnsi" w:hAnsiTheme="majorHAnsi"/>
          <w:color w:val="000000"/>
          <w:sz w:val="24"/>
          <w:szCs w:val="24"/>
        </w:rPr>
        <w:t>assessed</w:t>
      </w:r>
      <w:proofErr w:type="gramEnd"/>
      <w:r>
        <w:rPr>
          <w:rFonts w:asciiTheme="majorHAnsi" w:hAnsiTheme="majorHAnsi"/>
          <w:color w:val="000000"/>
          <w:sz w:val="24"/>
          <w:szCs w:val="24"/>
        </w:rPr>
        <w:t xml:space="preserve"> as the number of aircraft or artillery pieces in the arsenal and therefore degradations are not easily noticed until they have an operational effect.  The American military spent over three years learning the basics of a very old and well-known form of warfare, because it had systematically failed to educate generations of its officers in insurgency and counterinsurgency warfare in its PME schoolhouses.  </w:t>
      </w:r>
      <w:r w:rsidR="00F96028">
        <w:rPr>
          <w:rFonts w:asciiTheme="majorHAnsi" w:hAnsiTheme="majorHAnsi"/>
          <w:color w:val="000000"/>
          <w:sz w:val="24"/>
          <w:szCs w:val="24"/>
        </w:rPr>
        <w:t xml:space="preserve">It suffered tactical, operational, and almost strategic defeat in Iraq and Afghanistan as a result. </w:t>
      </w:r>
      <w:r>
        <w:rPr>
          <w:rFonts w:asciiTheme="majorHAnsi" w:hAnsiTheme="majorHAnsi"/>
          <w:color w:val="000000"/>
          <w:sz w:val="24"/>
          <w:szCs w:val="24"/>
        </w:rPr>
        <w:t xml:space="preserve">European militaries suffered as well.  Yet these knowledge shortfalls could have been corrected for the </w:t>
      </w:r>
      <w:r w:rsidR="00C8210B">
        <w:rPr>
          <w:rFonts w:asciiTheme="majorHAnsi" w:hAnsiTheme="majorHAnsi"/>
          <w:color w:val="000000"/>
          <w:sz w:val="24"/>
          <w:szCs w:val="24"/>
        </w:rPr>
        <w:t>price of a few fighter aircraft—for example, those that were lost on the ground in Camp Leatherneck in 2010.</w:t>
      </w:r>
      <w:r w:rsidR="00C8210B">
        <w:rPr>
          <w:rStyle w:val="FootnoteReference"/>
          <w:rFonts w:asciiTheme="majorHAnsi" w:hAnsiTheme="majorHAnsi"/>
          <w:color w:val="000000"/>
          <w:sz w:val="24"/>
          <w:szCs w:val="24"/>
        </w:rPr>
        <w:footnoteReference w:id="51"/>
      </w:r>
      <w:r w:rsidR="00C8210B">
        <w:rPr>
          <w:rFonts w:asciiTheme="majorHAnsi" w:hAnsiTheme="majorHAnsi"/>
          <w:color w:val="000000"/>
          <w:sz w:val="24"/>
          <w:szCs w:val="24"/>
        </w:rPr>
        <w:t xml:space="preserve">  </w:t>
      </w:r>
    </w:p>
    <w:p w14:paraId="7DF3AFA7" w14:textId="77777777" w:rsidR="00C8210B" w:rsidRDefault="002E3212" w:rsidP="00870B6A">
      <w:pPr>
        <w:spacing w:after="0" w:line="240" w:lineRule="auto"/>
        <w:contextualSpacing/>
        <w:jc w:val="both"/>
        <w:rPr>
          <w:rFonts w:asciiTheme="majorHAnsi" w:hAnsiTheme="majorHAnsi"/>
          <w:color w:val="000000"/>
          <w:sz w:val="24"/>
          <w:szCs w:val="24"/>
        </w:rPr>
      </w:pPr>
      <w:r>
        <w:rPr>
          <w:rFonts w:asciiTheme="majorHAnsi" w:hAnsiTheme="majorHAnsi"/>
          <w:color w:val="000000"/>
          <w:sz w:val="24"/>
          <w:szCs w:val="24"/>
        </w:rPr>
        <w:t xml:space="preserve"> </w:t>
      </w:r>
    </w:p>
    <w:p w14:paraId="08A6A02B" w14:textId="77777777" w:rsidR="00504B82" w:rsidRDefault="00865081" w:rsidP="00870B6A">
      <w:pPr>
        <w:spacing w:after="0" w:line="240" w:lineRule="auto"/>
        <w:contextualSpacing/>
        <w:jc w:val="both"/>
        <w:rPr>
          <w:rFonts w:asciiTheme="majorHAnsi" w:hAnsiTheme="majorHAnsi"/>
          <w:color w:val="000000"/>
          <w:sz w:val="24"/>
          <w:szCs w:val="24"/>
        </w:rPr>
      </w:pPr>
      <w:r>
        <w:rPr>
          <w:rFonts w:asciiTheme="majorHAnsi" w:hAnsiTheme="majorHAnsi"/>
          <w:color w:val="000000"/>
          <w:sz w:val="24"/>
          <w:szCs w:val="24"/>
        </w:rPr>
        <w:t xml:space="preserve">Multinational military operations require highly educated </w:t>
      </w:r>
      <w:r w:rsidR="00C87D3E">
        <w:rPr>
          <w:rFonts w:asciiTheme="majorHAnsi" w:hAnsiTheme="majorHAnsi"/>
          <w:color w:val="000000"/>
          <w:sz w:val="24"/>
          <w:szCs w:val="24"/>
        </w:rPr>
        <w:t xml:space="preserve">and trained </w:t>
      </w:r>
      <w:r>
        <w:rPr>
          <w:rFonts w:asciiTheme="majorHAnsi" w:hAnsiTheme="majorHAnsi"/>
          <w:color w:val="000000"/>
          <w:sz w:val="24"/>
          <w:szCs w:val="24"/>
        </w:rPr>
        <w:t xml:space="preserve">professional officers to deliver the operational and strategic outcomes that political leaders demand.  </w:t>
      </w:r>
      <w:r w:rsidR="002E3212">
        <w:rPr>
          <w:rFonts w:asciiTheme="majorHAnsi" w:hAnsiTheme="majorHAnsi"/>
          <w:color w:val="000000"/>
          <w:sz w:val="24"/>
          <w:szCs w:val="24"/>
        </w:rPr>
        <w:t xml:space="preserve">Educating the officers of Allies in a cooperative manner can be </w:t>
      </w:r>
      <w:r w:rsidR="00C87D3E">
        <w:rPr>
          <w:rFonts w:asciiTheme="majorHAnsi" w:hAnsiTheme="majorHAnsi"/>
          <w:color w:val="000000"/>
          <w:sz w:val="24"/>
          <w:szCs w:val="24"/>
        </w:rPr>
        <w:t xml:space="preserve">a </w:t>
      </w:r>
      <w:r w:rsidR="002E3212">
        <w:rPr>
          <w:rFonts w:asciiTheme="majorHAnsi" w:hAnsiTheme="majorHAnsi"/>
          <w:color w:val="000000"/>
          <w:sz w:val="24"/>
          <w:szCs w:val="24"/>
        </w:rPr>
        <w:t>more efficient and more effective</w:t>
      </w:r>
      <w:r>
        <w:rPr>
          <w:rFonts w:asciiTheme="majorHAnsi" w:hAnsiTheme="majorHAnsi"/>
          <w:color w:val="000000"/>
          <w:sz w:val="24"/>
          <w:szCs w:val="24"/>
        </w:rPr>
        <w:t xml:space="preserve"> means of achieving these objectives. The m</w:t>
      </w:r>
      <w:r w:rsidR="00BA758A">
        <w:rPr>
          <w:rFonts w:asciiTheme="majorHAnsi" w:hAnsiTheme="majorHAnsi"/>
          <w:color w:val="000000"/>
          <w:sz w:val="24"/>
          <w:szCs w:val="24"/>
        </w:rPr>
        <w:t xml:space="preserve">ultinational cooperation among strategically proximate partners </w:t>
      </w:r>
      <w:r>
        <w:rPr>
          <w:rFonts w:asciiTheme="majorHAnsi" w:hAnsiTheme="majorHAnsi"/>
          <w:color w:val="000000"/>
          <w:sz w:val="24"/>
          <w:szCs w:val="24"/>
        </w:rPr>
        <w:t xml:space="preserve">that is being pioneered by the Nordic states </w:t>
      </w:r>
      <w:r w:rsidR="00BA758A">
        <w:rPr>
          <w:rFonts w:asciiTheme="majorHAnsi" w:hAnsiTheme="majorHAnsi"/>
          <w:color w:val="000000"/>
          <w:sz w:val="24"/>
          <w:szCs w:val="24"/>
        </w:rPr>
        <w:t xml:space="preserve">is perhaps the most pragmatic way to </w:t>
      </w:r>
      <w:r>
        <w:rPr>
          <w:rFonts w:asciiTheme="majorHAnsi" w:hAnsiTheme="majorHAnsi"/>
          <w:color w:val="000000"/>
          <w:sz w:val="24"/>
          <w:szCs w:val="24"/>
        </w:rPr>
        <w:t>begin.</w:t>
      </w:r>
    </w:p>
    <w:p w14:paraId="7B5B46E4" w14:textId="77777777" w:rsidR="00C15727" w:rsidRDefault="00C15727" w:rsidP="00870B6A">
      <w:pPr>
        <w:spacing w:after="0" w:line="240" w:lineRule="auto"/>
        <w:contextualSpacing/>
        <w:jc w:val="both"/>
        <w:rPr>
          <w:rFonts w:asciiTheme="majorHAnsi" w:hAnsiTheme="majorHAnsi"/>
          <w:color w:val="000000"/>
          <w:sz w:val="24"/>
          <w:szCs w:val="24"/>
        </w:rPr>
      </w:pPr>
    </w:p>
    <w:p w14:paraId="77BB9EA6" w14:textId="77777777" w:rsidR="00A75F18" w:rsidRDefault="00A75F18" w:rsidP="00870B6A">
      <w:pPr>
        <w:spacing w:after="0" w:line="240" w:lineRule="auto"/>
        <w:contextualSpacing/>
        <w:jc w:val="both"/>
        <w:rPr>
          <w:rFonts w:asciiTheme="majorHAnsi" w:hAnsiTheme="majorHAnsi"/>
          <w:color w:val="000000"/>
          <w:sz w:val="24"/>
          <w:szCs w:val="24"/>
        </w:rPr>
      </w:pPr>
    </w:p>
    <w:p w14:paraId="73C23007" w14:textId="77777777" w:rsidR="00B26DF1" w:rsidRDefault="00B26DF1" w:rsidP="00870B6A">
      <w:pPr>
        <w:spacing w:after="0" w:line="240" w:lineRule="auto"/>
        <w:contextualSpacing/>
        <w:jc w:val="both"/>
        <w:rPr>
          <w:rFonts w:asciiTheme="majorHAnsi" w:hAnsiTheme="majorHAnsi"/>
          <w:sz w:val="24"/>
          <w:szCs w:val="24"/>
        </w:rPr>
      </w:pPr>
    </w:p>
    <w:p w14:paraId="7BB961C5" w14:textId="77777777" w:rsidR="00245A7C" w:rsidRDefault="00245A7C" w:rsidP="00870B6A">
      <w:pPr>
        <w:spacing w:after="0" w:line="240" w:lineRule="auto"/>
        <w:contextualSpacing/>
        <w:jc w:val="both"/>
        <w:rPr>
          <w:rFonts w:asciiTheme="majorHAnsi" w:hAnsiTheme="majorHAnsi"/>
          <w:sz w:val="24"/>
          <w:szCs w:val="24"/>
        </w:rPr>
      </w:pPr>
    </w:p>
    <w:p w14:paraId="11E8ABB2" w14:textId="77777777" w:rsidR="00245A7C" w:rsidRPr="0081429F" w:rsidRDefault="00245A7C" w:rsidP="00870B6A">
      <w:pPr>
        <w:spacing w:after="0" w:line="240" w:lineRule="auto"/>
        <w:contextualSpacing/>
        <w:jc w:val="both"/>
        <w:rPr>
          <w:rFonts w:asciiTheme="majorHAnsi" w:hAnsiTheme="majorHAnsi"/>
          <w:sz w:val="24"/>
          <w:szCs w:val="24"/>
        </w:rPr>
      </w:pPr>
    </w:p>
    <w:p w14:paraId="260F7926" w14:textId="77777777" w:rsidR="00B26DF1" w:rsidRDefault="00B26DF1" w:rsidP="00870B6A">
      <w:pPr>
        <w:spacing w:after="0" w:line="240" w:lineRule="auto"/>
        <w:contextualSpacing/>
        <w:jc w:val="both"/>
      </w:pPr>
    </w:p>
    <w:p w14:paraId="3AA76419" w14:textId="77777777" w:rsidR="00B26DF1" w:rsidRPr="00B26DF1" w:rsidRDefault="00B26DF1" w:rsidP="00870B6A">
      <w:pPr>
        <w:spacing w:after="0" w:line="240" w:lineRule="auto"/>
        <w:contextualSpacing/>
        <w:jc w:val="both"/>
      </w:pPr>
    </w:p>
    <w:p w14:paraId="42B7DCE3" w14:textId="77777777" w:rsidR="00F518C9" w:rsidRDefault="00F518C9" w:rsidP="008816E5">
      <w:pPr>
        <w:pStyle w:val="Heading1"/>
        <w:spacing w:before="0" w:line="240" w:lineRule="auto"/>
        <w:contextualSpacing/>
        <w:jc w:val="both"/>
        <w:rPr>
          <w:rFonts w:asciiTheme="majorHAnsi" w:hAnsiTheme="majorHAnsi"/>
          <w:sz w:val="24"/>
          <w:szCs w:val="24"/>
        </w:rPr>
      </w:pPr>
    </w:p>
    <w:sectPr w:rsidR="00F518C9" w:rsidSect="00E20F7A">
      <w:headerReference w:type="default" r:id="rId9"/>
      <w:footerReference w:type="default" r:id="rId10"/>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BAD83" w14:textId="77777777" w:rsidR="009F0877" w:rsidRDefault="009F0877" w:rsidP="00410BBD">
      <w:pPr>
        <w:spacing w:after="0" w:line="240" w:lineRule="auto"/>
      </w:pPr>
      <w:r>
        <w:separator/>
      </w:r>
    </w:p>
  </w:endnote>
  <w:endnote w:type="continuationSeparator" w:id="0">
    <w:p w14:paraId="1808E339" w14:textId="77777777" w:rsidR="009F0877" w:rsidRDefault="009F0877" w:rsidP="0041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001"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9223" w14:textId="77777777" w:rsidR="009F0877" w:rsidRPr="00A41319" w:rsidRDefault="009F0877">
    <w:pPr>
      <w:pStyle w:val="Footer"/>
      <w:jc w:val="right"/>
      <w:rPr>
        <w:rFonts w:ascii="Times New Roman" w:hAnsi="Times New Roman"/>
      </w:rPr>
    </w:pPr>
    <w:r w:rsidRPr="00A41319">
      <w:rPr>
        <w:rFonts w:ascii="Times New Roman" w:hAnsi="Times New Roman"/>
      </w:rPr>
      <w:fldChar w:fldCharType="begin"/>
    </w:r>
    <w:r w:rsidRPr="00A41319">
      <w:rPr>
        <w:rFonts w:ascii="Times New Roman" w:hAnsi="Times New Roman"/>
      </w:rPr>
      <w:instrText xml:space="preserve"> PAGE   \* MERGEFORMAT </w:instrText>
    </w:r>
    <w:r w:rsidRPr="00A41319">
      <w:rPr>
        <w:rFonts w:ascii="Times New Roman" w:hAnsi="Times New Roman"/>
      </w:rPr>
      <w:fldChar w:fldCharType="separate"/>
    </w:r>
    <w:r w:rsidR="00E20F7A">
      <w:rPr>
        <w:rFonts w:ascii="Times New Roman" w:hAnsi="Times New Roman"/>
        <w:noProof/>
      </w:rPr>
      <w:t>2</w:t>
    </w:r>
    <w:r w:rsidRPr="00A41319">
      <w:rPr>
        <w:rFonts w:ascii="Times New Roman" w:hAnsi="Times New Roman"/>
      </w:rPr>
      <w:fldChar w:fldCharType="end"/>
    </w:r>
  </w:p>
  <w:p w14:paraId="4732EEB4" w14:textId="77777777" w:rsidR="009F0877" w:rsidRDefault="009F0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C716" w14:textId="77777777" w:rsidR="009F0877" w:rsidRDefault="009F0877" w:rsidP="00410BBD">
      <w:pPr>
        <w:spacing w:after="0" w:line="240" w:lineRule="auto"/>
      </w:pPr>
      <w:r>
        <w:separator/>
      </w:r>
    </w:p>
  </w:footnote>
  <w:footnote w:type="continuationSeparator" w:id="0">
    <w:p w14:paraId="699630D1" w14:textId="77777777" w:rsidR="009F0877" w:rsidRDefault="009F0877" w:rsidP="00410BBD">
      <w:pPr>
        <w:spacing w:after="0" w:line="240" w:lineRule="auto"/>
      </w:pPr>
      <w:r>
        <w:continuationSeparator/>
      </w:r>
    </w:p>
  </w:footnote>
  <w:footnote w:id="1">
    <w:p w14:paraId="65ED0C0F"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Department of Defense, </w:t>
      </w:r>
      <w:r w:rsidRPr="00F01DF4">
        <w:rPr>
          <w:rFonts w:cs="Calibri"/>
          <w:u w:val="single"/>
        </w:rPr>
        <w:t>Kosovo/Operation Allied Force After Action Report</w:t>
      </w:r>
      <w:r w:rsidRPr="00F01DF4">
        <w:rPr>
          <w:rFonts w:cs="Calibri"/>
        </w:rPr>
        <w:t xml:space="preserve">, report to Congress, (Washington: Department of Defense, 31 January 2000); Ivo H. Daalder and James G. </w:t>
      </w:r>
      <w:proofErr w:type="spellStart"/>
      <w:r w:rsidRPr="00F01DF4">
        <w:rPr>
          <w:rFonts w:cs="Calibri"/>
        </w:rPr>
        <w:t>Stavridis</w:t>
      </w:r>
      <w:proofErr w:type="spellEnd"/>
      <w:r w:rsidRPr="00F01DF4">
        <w:rPr>
          <w:rFonts w:cs="Calibri"/>
        </w:rPr>
        <w:t xml:space="preserve">, “NATO’s Success in Libya,” </w:t>
      </w:r>
      <w:r w:rsidRPr="00F01DF4">
        <w:rPr>
          <w:rFonts w:cs="Calibri"/>
          <w:i/>
        </w:rPr>
        <w:t>The New York Times</w:t>
      </w:r>
      <w:r w:rsidRPr="00F01DF4">
        <w:rPr>
          <w:rFonts w:cs="Calibri"/>
        </w:rPr>
        <w:t xml:space="preserve"> (30 October 2011).</w:t>
      </w:r>
    </w:p>
    <w:p w14:paraId="51F47B48" w14:textId="77777777" w:rsidR="009F0877" w:rsidRPr="00F01DF4" w:rsidRDefault="009F0877" w:rsidP="00E8057E">
      <w:pPr>
        <w:pStyle w:val="FootnoteText"/>
        <w:spacing w:after="0" w:line="240" w:lineRule="auto"/>
        <w:contextualSpacing/>
        <w:jc w:val="both"/>
        <w:rPr>
          <w:rFonts w:cs="Calibri"/>
        </w:rPr>
      </w:pPr>
    </w:p>
  </w:footnote>
  <w:footnote w:id="2">
    <w:p w14:paraId="2B2A5F36"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F. Stephen </w:t>
      </w:r>
      <w:proofErr w:type="spellStart"/>
      <w:r w:rsidRPr="00F01DF4">
        <w:rPr>
          <w:rFonts w:cs="Calibri"/>
        </w:rPr>
        <w:t>Larrabee</w:t>
      </w:r>
      <w:proofErr w:type="spellEnd"/>
      <w:r w:rsidRPr="00F01DF4">
        <w:rPr>
          <w:rFonts w:cs="Calibri"/>
        </w:rPr>
        <w:t xml:space="preserve">, Stuart E. Johnson, John Gordon IV, Peter A. Wilson, Caroline Baxter, Deborah Ali, and </w:t>
      </w:r>
      <w:proofErr w:type="spellStart"/>
      <w:r w:rsidRPr="00F01DF4">
        <w:rPr>
          <w:rFonts w:cs="Calibri"/>
        </w:rPr>
        <w:t>Calin</w:t>
      </w:r>
      <w:proofErr w:type="spellEnd"/>
      <w:r w:rsidRPr="00F01DF4">
        <w:rPr>
          <w:rFonts w:cs="Calibri"/>
        </w:rPr>
        <w:t xml:space="preserve"> </w:t>
      </w:r>
      <w:proofErr w:type="spellStart"/>
      <w:r w:rsidRPr="00F01DF4">
        <w:rPr>
          <w:rFonts w:cs="Calibri"/>
        </w:rPr>
        <w:t>Trenkov-Wermuth</w:t>
      </w:r>
      <w:proofErr w:type="spellEnd"/>
      <w:r w:rsidRPr="00F01DF4">
        <w:rPr>
          <w:rFonts w:cs="Calibri"/>
        </w:rPr>
        <w:t xml:space="preserve">, </w:t>
      </w:r>
      <w:r w:rsidRPr="00F01DF4">
        <w:rPr>
          <w:rFonts w:cs="Calibri"/>
          <w:u w:val="single"/>
        </w:rPr>
        <w:t>NATO and the Challenges of Austerity</w:t>
      </w:r>
      <w:r w:rsidRPr="00F01DF4">
        <w:rPr>
          <w:rFonts w:cs="Calibri"/>
        </w:rPr>
        <w:t>, (Santa Monica: RAND Corporation, 2012), page 98.</w:t>
      </w:r>
    </w:p>
    <w:p w14:paraId="13935D3B" w14:textId="77777777" w:rsidR="009F0877" w:rsidRPr="00F01DF4" w:rsidRDefault="009F0877" w:rsidP="00E8057E">
      <w:pPr>
        <w:pStyle w:val="FootnoteText"/>
        <w:spacing w:after="0" w:line="240" w:lineRule="auto"/>
        <w:contextualSpacing/>
        <w:jc w:val="both"/>
        <w:rPr>
          <w:rFonts w:cs="Calibri"/>
        </w:rPr>
      </w:pPr>
    </w:p>
  </w:footnote>
  <w:footnote w:id="3">
    <w:p w14:paraId="176C6645"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Robert M. Gates, “The Security and Defense Agenda (Future of NATO), As Delivered by Secretary of Defense Robert M. Gates, Brussels, Belgium, Friday, June 10, 2011,” (Washington: U.S. Department of Defense, Office of the Assistant Secretary of Defense (Public Affairs), 10 June 2011); Ivo Daalder and James G. </w:t>
      </w:r>
      <w:proofErr w:type="spellStart"/>
      <w:r w:rsidRPr="00F01DF4">
        <w:rPr>
          <w:rFonts w:cs="Calibri"/>
        </w:rPr>
        <w:t>Stravidis</w:t>
      </w:r>
      <w:proofErr w:type="spellEnd"/>
      <w:r w:rsidRPr="00F01DF4">
        <w:rPr>
          <w:rFonts w:cs="Calibri"/>
        </w:rPr>
        <w:t xml:space="preserve">, “NATO’s Victory in Libya: The Right Way to Run an Intervention,” </w:t>
      </w:r>
      <w:r w:rsidRPr="00F01DF4">
        <w:rPr>
          <w:rFonts w:cs="Calibri"/>
          <w:i/>
        </w:rPr>
        <w:t>Foreign Affairs</w:t>
      </w:r>
      <w:r w:rsidRPr="00F01DF4">
        <w:rPr>
          <w:rFonts w:cs="Calibri"/>
        </w:rPr>
        <w:t xml:space="preserve"> 91, 2 (March/April 2012); Christian F. </w:t>
      </w:r>
      <w:proofErr w:type="spellStart"/>
      <w:r w:rsidRPr="00F01DF4">
        <w:rPr>
          <w:rFonts w:cs="Calibri"/>
        </w:rPr>
        <w:t>Anrig</w:t>
      </w:r>
      <w:proofErr w:type="spellEnd"/>
      <w:r w:rsidRPr="00F01DF4">
        <w:rPr>
          <w:rFonts w:cs="Calibri"/>
        </w:rPr>
        <w:t xml:space="preserve">, “Allied Air Power over Libya: A Preliminary Assessment,” </w:t>
      </w:r>
      <w:r w:rsidRPr="00F01DF4">
        <w:rPr>
          <w:rFonts w:cs="Calibri"/>
          <w:i/>
        </w:rPr>
        <w:t>Air and Space Power Journal</w:t>
      </w:r>
      <w:r w:rsidRPr="00F01DF4">
        <w:rPr>
          <w:rFonts w:cs="Calibri"/>
        </w:rPr>
        <w:t xml:space="preserve"> 25, 4 (Winter 2011).</w:t>
      </w:r>
    </w:p>
    <w:p w14:paraId="349C23A2" w14:textId="77777777" w:rsidR="009F0877" w:rsidRPr="00F01DF4" w:rsidRDefault="009F0877" w:rsidP="00E8057E">
      <w:pPr>
        <w:pStyle w:val="FootnoteText"/>
        <w:spacing w:after="0" w:line="240" w:lineRule="auto"/>
        <w:contextualSpacing/>
        <w:jc w:val="both"/>
        <w:rPr>
          <w:rFonts w:cs="Calibri"/>
        </w:rPr>
      </w:pPr>
    </w:p>
  </w:footnote>
  <w:footnote w:id="4">
    <w:p w14:paraId="650FCB07"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Gates, “The Security and Defense Agenda (Future of NATO),” page 2.</w:t>
      </w:r>
    </w:p>
    <w:p w14:paraId="29ECA8D5" w14:textId="77777777" w:rsidR="009F0877" w:rsidRPr="00F01DF4" w:rsidRDefault="009F0877" w:rsidP="00E8057E">
      <w:pPr>
        <w:pStyle w:val="FootnoteText"/>
        <w:spacing w:after="0" w:line="240" w:lineRule="auto"/>
        <w:contextualSpacing/>
        <w:jc w:val="both"/>
        <w:rPr>
          <w:rFonts w:cs="Calibri"/>
        </w:rPr>
      </w:pPr>
    </w:p>
  </w:footnote>
  <w:footnote w:id="5">
    <w:p w14:paraId="7715AC52"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Andrea </w:t>
      </w:r>
      <w:proofErr w:type="spellStart"/>
      <w:r w:rsidRPr="00F01DF4">
        <w:rPr>
          <w:rFonts w:cs="Calibri"/>
        </w:rPr>
        <w:t>Gilli</w:t>
      </w:r>
      <w:proofErr w:type="spellEnd"/>
      <w:r w:rsidRPr="00F01DF4">
        <w:rPr>
          <w:rFonts w:cs="Calibri"/>
        </w:rPr>
        <w:t xml:space="preserve">, “Procurement Lessons from the War I Libya,” </w:t>
      </w:r>
      <w:r w:rsidRPr="00F01DF4">
        <w:rPr>
          <w:rFonts w:cs="Calibri"/>
          <w:i/>
        </w:rPr>
        <w:t>RUSI Defence Systems</w:t>
      </w:r>
      <w:r w:rsidRPr="00F01DF4">
        <w:rPr>
          <w:rFonts w:cs="Calibri"/>
        </w:rPr>
        <w:t xml:space="preserve"> (Autumn/Winter 2012); Timothy P. Sheridan, </w:t>
      </w:r>
      <w:r w:rsidRPr="00F01DF4">
        <w:rPr>
          <w:rFonts w:cs="Calibri"/>
          <w:u w:val="single"/>
        </w:rPr>
        <w:t>NATO in Libya: Implications on the Future of the Alliance</w:t>
      </w:r>
      <w:r w:rsidRPr="00F01DF4">
        <w:rPr>
          <w:rFonts w:cs="Calibri"/>
        </w:rPr>
        <w:t>, (Carlisle: U.S. Army War College, 2012).</w:t>
      </w:r>
    </w:p>
    <w:p w14:paraId="1580C7CB" w14:textId="77777777" w:rsidR="009F0877" w:rsidRPr="00F01DF4" w:rsidRDefault="009F0877" w:rsidP="00E8057E">
      <w:pPr>
        <w:pStyle w:val="FootnoteText"/>
        <w:spacing w:after="0" w:line="240" w:lineRule="auto"/>
        <w:contextualSpacing/>
        <w:jc w:val="both"/>
        <w:rPr>
          <w:rFonts w:cs="Calibri"/>
        </w:rPr>
      </w:pPr>
    </w:p>
  </w:footnote>
  <w:footnote w:id="6">
    <w:p w14:paraId="087D6FEC"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Ivo H. Daalder and James G. </w:t>
      </w:r>
      <w:proofErr w:type="spellStart"/>
      <w:r w:rsidRPr="00F01DF4">
        <w:rPr>
          <w:rFonts w:cs="Calibri"/>
        </w:rPr>
        <w:t>Stavridis</w:t>
      </w:r>
      <w:proofErr w:type="spellEnd"/>
      <w:r w:rsidRPr="00F01DF4">
        <w:rPr>
          <w:rFonts w:cs="Calibri"/>
        </w:rPr>
        <w:t xml:space="preserve">, “NATO’s Victory in Libya: The Right Way to Run an Intervention,” </w:t>
      </w:r>
      <w:r w:rsidRPr="00F01DF4">
        <w:rPr>
          <w:rFonts w:cs="Calibri"/>
          <w:i/>
        </w:rPr>
        <w:t>Foreign Affairs</w:t>
      </w:r>
      <w:r w:rsidRPr="00F01DF4">
        <w:rPr>
          <w:rFonts w:cs="Calibri"/>
        </w:rPr>
        <w:t xml:space="preserve"> 91, 2 (March/April 2012), page 6; Eric Schmitt, “NATO Sees Flaws in Air Campaign Against </w:t>
      </w:r>
      <w:proofErr w:type="spellStart"/>
      <w:r w:rsidRPr="00F01DF4">
        <w:rPr>
          <w:rFonts w:cs="Calibri"/>
        </w:rPr>
        <w:t>Qadaffi</w:t>
      </w:r>
      <w:proofErr w:type="spellEnd"/>
      <w:r w:rsidRPr="00F01DF4">
        <w:rPr>
          <w:rFonts w:cs="Calibri"/>
        </w:rPr>
        <w:t xml:space="preserve">,” </w:t>
      </w:r>
      <w:r w:rsidRPr="00F01DF4">
        <w:rPr>
          <w:rFonts w:cs="Calibri"/>
          <w:i/>
        </w:rPr>
        <w:t>The New York Times</w:t>
      </w:r>
      <w:r w:rsidRPr="00F01DF4">
        <w:rPr>
          <w:rFonts w:cs="Calibri"/>
        </w:rPr>
        <w:t xml:space="preserve"> (14 April 2012).  </w:t>
      </w:r>
    </w:p>
    <w:p w14:paraId="4F3B548D" w14:textId="77777777" w:rsidR="009F0877" w:rsidRPr="00F01DF4" w:rsidRDefault="009F0877" w:rsidP="00E8057E">
      <w:pPr>
        <w:pStyle w:val="FootnoteText"/>
        <w:spacing w:after="0" w:line="240" w:lineRule="auto"/>
        <w:contextualSpacing/>
        <w:jc w:val="both"/>
        <w:rPr>
          <w:rFonts w:cs="Calibri"/>
        </w:rPr>
      </w:pPr>
    </w:p>
  </w:footnote>
  <w:footnote w:id="7">
    <w:p w14:paraId="32277852"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“Operation Unified Protector: Lessons from National Military Perspectives,” </w:t>
      </w:r>
      <w:r w:rsidRPr="00F01DF4">
        <w:rPr>
          <w:rFonts w:cs="Calibri"/>
          <w:i/>
        </w:rPr>
        <w:t>Project Factsheet</w:t>
      </w:r>
      <w:r w:rsidRPr="00F01DF4">
        <w:rPr>
          <w:rFonts w:cs="Calibri"/>
        </w:rPr>
        <w:t>, (Brussels: NATO Joint Analysis and Lessons Learned Centre, 27 February 2012).</w:t>
      </w:r>
    </w:p>
    <w:p w14:paraId="2F3FA620" w14:textId="77777777" w:rsidR="009F0877" w:rsidRPr="00F01DF4" w:rsidRDefault="009F0877" w:rsidP="00E8057E">
      <w:pPr>
        <w:pStyle w:val="FootnoteText"/>
        <w:spacing w:after="0" w:line="240" w:lineRule="auto"/>
        <w:contextualSpacing/>
        <w:jc w:val="both"/>
        <w:rPr>
          <w:rFonts w:cs="Calibri"/>
        </w:rPr>
      </w:pPr>
    </w:p>
  </w:footnote>
  <w:footnote w:id="8">
    <w:p w14:paraId="37D4E647"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The air operations center under the American-commanded Operation Odyssey Dawn had 770 staff officers; when command was transferred to NATO’s Operation Unified Protector, the number dropped to 170 (Daniel F. </w:t>
      </w:r>
      <w:proofErr w:type="spellStart"/>
      <w:r w:rsidRPr="00F01DF4">
        <w:rPr>
          <w:rFonts w:cs="Calibri"/>
        </w:rPr>
        <w:t>Baltrusaitis</w:t>
      </w:r>
      <w:proofErr w:type="spellEnd"/>
      <w:r w:rsidRPr="00F01DF4">
        <w:rPr>
          <w:rFonts w:cs="Calibri"/>
        </w:rPr>
        <w:t xml:space="preserve"> and Mark E. </w:t>
      </w:r>
      <w:proofErr w:type="spellStart"/>
      <w:r w:rsidRPr="00F01DF4">
        <w:rPr>
          <w:rFonts w:cs="Calibri"/>
        </w:rPr>
        <w:t>Duckenfeld</w:t>
      </w:r>
      <w:proofErr w:type="spellEnd"/>
      <w:r w:rsidRPr="00F01DF4">
        <w:rPr>
          <w:rFonts w:cs="Calibri"/>
        </w:rPr>
        <w:t xml:space="preserve">, “Operation Unified Protector: Triumph or Warning Sign?” </w:t>
      </w:r>
      <w:r w:rsidRPr="00F01DF4">
        <w:rPr>
          <w:rFonts w:cs="Calibri"/>
          <w:i/>
        </w:rPr>
        <w:t>Baltic Security and Defence Review</w:t>
      </w:r>
      <w:r w:rsidRPr="00F01DF4">
        <w:rPr>
          <w:rFonts w:cs="Calibri"/>
        </w:rPr>
        <w:t xml:space="preserve"> 14, 2 (2012), page 37); Amy </w:t>
      </w:r>
      <w:proofErr w:type="spellStart"/>
      <w:r w:rsidRPr="00F01DF4">
        <w:rPr>
          <w:rFonts w:cs="Calibri"/>
        </w:rPr>
        <w:t>McCullugh</w:t>
      </w:r>
      <w:proofErr w:type="spellEnd"/>
      <w:r w:rsidRPr="00F01DF4">
        <w:rPr>
          <w:rFonts w:cs="Calibri"/>
        </w:rPr>
        <w:t xml:space="preserve">, “The Libya Mission,” </w:t>
      </w:r>
      <w:r w:rsidRPr="00F01DF4">
        <w:rPr>
          <w:rFonts w:cs="Calibri"/>
          <w:i/>
        </w:rPr>
        <w:t>Air Force Magazine</w:t>
      </w:r>
      <w:r w:rsidRPr="00F01DF4">
        <w:rPr>
          <w:rFonts w:cs="Calibri"/>
        </w:rPr>
        <w:t xml:space="preserve"> (August 2011), page 30.</w:t>
      </w:r>
    </w:p>
    <w:p w14:paraId="7D9304A9" w14:textId="77777777" w:rsidR="009F0877" w:rsidRPr="00F01DF4" w:rsidRDefault="009F0877" w:rsidP="00E8057E">
      <w:pPr>
        <w:pStyle w:val="FootnoteText"/>
        <w:spacing w:after="0" w:line="240" w:lineRule="auto"/>
        <w:contextualSpacing/>
        <w:jc w:val="both"/>
        <w:rPr>
          <w:rFonts w:cs="Calibri"/>
        </w:rPr>
      </w:pPr>
    </w:p>
  </w:footnote>
  <w:footnote w:id="9">
    <w:p w14:paraId="5B4AB3E2" w14:textId="77777777" w:rsidR="009F0877" w:rsidRPr="00F01DF4" w:rsidRDefault="009F0877" w:rsidP="00E8057E">
      <w:pPr>
        <w:pStyle w:val="FootnoteText"/>
        <w:spacing w:after="0" w:line="240" w:lineRule="auto"/>
        <w:contextualSpacing/>
        <w:jc w:val="both"/>
        <w:rPr>
          <w:rFonts w:eastAsia="Times New Roman" w:cs="Calibri"/>
          <w:color w:val="000000"/>
          <w:lang w:val="en-GB" w:eastAsia="da-DK"/>
        </w:rPr>
      </w:pPr>
      <w:r w:rsidRPr="00F01DF4">
        <w:rPr>
          <w:rStyle w:val="FootnoteReference"/>
          <w:rFonts w:cs="Calibri"/>
        </w:rPr>
        <w:footnoteRef/>
      </w:r>
      <w:r w:rsidRPr="00F01DF4">
        <w:rPr>
          <w:rFonts w:cs="Calibri"/>
        </w:rPr>
        <w:t xml:space="preserve"> </w:t>
      </w:r>
      <w:r w:rsidRPr="00F01DF4">
        <w:rPr>
          <w:rFonts w:cs="Calibri"/>
          <w:color w:val="000000"/>
          <w:shd w:val="clear" w:color="auto" w:fill="FFFFFF"/>
        </w:rPr>
        <w:t xml:space="preserve">The </w:t>
      </w:r>
      <w:r w:rsidRPr="00F01DF4">
        <w:rPr>
          <w:rFonts w:cs="Calibri"/>
          <w:shd w:val="clear" w:color="auto" w:fill="FFFFFF"/>
        </w:rPr>
        <w:t xml:space="preserve">NATO School at </w:t>
      </w:r>
      <w:r w:rsidRPr="00F01DF4">
        <w:rPr>
          <w:rFonts w:eastAsia="Times New Roman" w:cs="Calibri"/>
          <w:color w:val="000000"/>
          <w:lang w:val="en-GB" w:eastAsia="da-DK"/>
        </w:rPr>
        <w:t>Oberammergau offers over 100 specialty courses of 1 week duration that cover a host of operationally-relevant topics, including those areas where European staff officers fell short in 2011, and the NATO Defence College offers two six-month long courses to roughly 75 officers and civil servants.</w:t>
      </w:r>
    </w:p>
    <w:p w14:paraId="5BE3D412" w14:textId="77777777" w:rsidR="009F0877" w:rsidRPr="00F01DF4" w:rsidRDefault="009F0877" w:rsidP="00E8057E">
      <w:pPr>
        <w:pStyle w:val="FootnoteText"/>
        <w:spacing w:after="0" w:line="240" w:lineRule="auto"/>
        <w:contextualSpacing/>
        <w:jc w:val="both"/>
        <w:rPr>
          <w:rFonts w:cs="Calibri"/>
        </w:rPr>
      </w:pPr>
    </w:p>
  </w:footnote>
  <w:footnote w:id="10">
    <w:p w14:paraId="4E4B90C1"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spellStart"/>
      <w:r w:rsidRPr="00F01DF4">
        <w:rPr>
          <w:rFonts w:cs="Calibri"/>
        </w:rPr>
        <w:t>Iver</w:t>
      </w:r>
      <w:proofErr w:type="spellEnd"/>
      <w:r w:rsidRPr="00F01DF4">
        <w:rPr>
          <w:rFonts w:cs="Calibri"/>
        </w:rPr>
        <w:t xml:space="preserve"> B. Neumann, “Nordic Security Cooperation in a Homogenized Political Setting,” </w:t>
      </w:r>
      <w:r w:rsidRPr="00F01DF4">
        <w:rPr>
          <w:rFonts w:cs="Calibri"/>
          <w:i/>
        </w:rPr>
        <w:t>Cooperation and Conflict</w:t>
      </w:r>
      <w:r w:rsidRPr="00F01DF4">
        <w:rPr>
          <w:rFonts w:cs="Calibri"/>
        </w:rPr>
        <w:t xml:space="preserve"> 31, 4 (December 1996); </w:t>
      </w:r>
      <w:proofErr w:type="spellStart"/>
      <w:r w:rsidRPr="00F01DF4">
        <w:rPr>
          <w:rFonts w:cs="Calibri"/>
        </w:rPr>
        <w:t>Pernille</w:t>
      </w:r>
      <w:proofErr w:type="spellEnd"/>
      <w:r w:rsidRPr="00F01DF4">
        <w:rPr>
          <w:rFonts w:cs="Calibri"/>
        </w:rPr>
        <w:t xml:space="preserve"> </w:t>
      </w:r>
      <w:proofErr w:type="spellStart"/>
      <w:r w:rsidRPr="00F01DF4">
        <w:rPr>
          <w:rFonts w:cs="Calibri"/>
        </w:rPr>
        <w:t>Rieker</w:t>
      </w:r>
      <w:proofErr w:type="spellEnd"/>
      <w:r w:rsidRPr="00F01DF4">
        <w:rPr>
          <w:rFonts w:cs="Calibri"/>
        </w:rPr>
        <w:t xml:space="preserve">, “Europeanization of Nordic Security: The European Union and the Changing Security Identities of the Nordic States,” </w:t>
      </w:r>
      <w:r w:rsidRPr="00F01DF4">
        <w:rPr>
          <w:rFonts w:cs="Calibri"/>
          <w:i/>
        </w:rPr>
        <w:t>Cooperation and Conflict</w:t>
      </w:r>
      <w:r w:rsidRPr="00F01DF4">
        <w:rPr>
          <w:rFonts w:cs="Calibri"/>
        </w:rPr>
        <w:t xml:space="preserve"> 39, 4 (December 2004); Peter Viggo Jakobsen, </w:t>
      </w:r>
      <w:r w:rsidRPr="00F01DF4">
        <w:rPr>
          <w:rFonts w:cs="Calibri"/>
          <w:u w:val="single"/>
        </w:rPr>
        <w:t>Nordic Approaches to Peace Operations: A New Model in the Making?</w:t>
      </w:r>
      <w:r w:rsidRPr="00F01DF4">
        <w:rPr>
          <w:rFonts w:cs="Calibri"/>
        </w:rPr>
        <w:t xml:space="preserve"> (London: </w:t>
      </w:r>
      <w:proofErr w:type="spellStart"/>
      <w:r w:rsidRPr="00F01DF4">
        <w:rPr>
          <w:rFonts w:cs="Calibri"/>
        </w:rPr>
        <w:t>Routledge</w:t>
      </w:r>
      <w:proofErr w:type="spellEnd"/>
      <w:r w:rsidRPr="00F01DF4">
        <w:rPr>
          <w:rFonts w:cs="Calibri"/>
        </w:rPr>
        <w:t xml:space="preserve">, 2006); </w:t>
      </w:r>
      <w:proofErr w:type="spellStart"/>
      <w:r w:rsidRPr="00F01DF4">
        <w:rPr>
          <w:rFonts w:cs="Calibri"/>
        </w:rPr>
        <w:t>Justyna</w:t>
      </w:r>
      <w:proofErr w:type="spellEnd"/>
      <w:r w:rsidRPr="00F01DF4">
        <w:rPr>
          <w:rFonts w:cs="Calibri"/>
        </w:rPr>
        <w:t xml:space="preserve"> </w:t>
      </w:r>
      <w:proofErr w:type="spellStart"/>
      <w:r w:rsidRPr="00F01DF4">
        <w:rPr>
          <w:rFonts w:cs="Calibri"/>
        </w:rPr>
        <w:t>Gotkowska</w:t>
      </w:r>
      <w:proofErr w:type="spellEnd"/>
      <w:r w:rsidRPr="00F01DF4">
        <w:rPr>
          <w:rFonts w:cs="Calibri"/>
        </w:rPr>
        <w:t xml:space="preserve">, “Smart Defence Nordic Style,” </w:t>
      </w:r>
      <w:proofErr w:type="spellStart"/>
      <w:r w:rsidRPr="00F01DF4">
        <w:rPr>
          <w:rFonts w:cs="Calibri"/>
          <w:i/>
        </w:rPr>
        <w:t>CeWeekly</w:t>
      </w:r>
      <w:proofErr w:type="spellEnd"/>
      <w:r w:rsidRPr="00F01DF4">
        <w:rPr>
          <w:rFonts w:cs="Calibri"/>
        </w:rPr>
        <w:t xml:space="preserve"> (19 September 2012), available at: </w:t>
      </w:r>
      <w:hyperlink r:id="rId1" w:history="1">
        <w:r w:rsidRPr="00F01DF4">
          <w:rPr>
            <w:rStyle w:val="Hyperlink"/>
            <w:rFonts w:cs="Calibri"/>
          </w:rPr>
          <w:t>http://www.osw.waw.pl/en/publikacje/ceweekly/2012-09-19/smart-defence-nordic-style</w:t>
        </w:r>
      </w:hyperlink>
      <w:r w:rsidRPr="00F01DF4">
        <w:rPr>
          <w:rFonts w:cs="Calibri"/>
        </w:rPr>
        <w:t>.</w:t>
      </w:r>
    </w:p>
    <w:p w14:paraId="43FD0A43" w14:textId="77777777" w:rsidR="009F0877" w:rsidRPr="00F01DF4" w:rsidRDefault="009F0877" w:rsidP="00E8057E">
      <w:pPr>
        <w:pStyle w:val="FootnoteText"/>
        <w:spacing w:after="0" w:line="240" w:lineRule="auto"/>
        <w:contextualSpacing/>
        <w:jc w:val="both"/>
        <w:rPr>
          <w:rFonts w:cs="Calibri"/>
        </w:rPr>
      </w:pPr>
    </w:p>
  </w:footnote>
  <w:footnote w:id="11">
    <w:p w14:paraId="5D7F977C"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NORDSAMFN was the Nordic Cooperation Group for Military UN Matters and was replaced by NORDCAPS, the Nordic Coordinated Arrangement for Military Peace Support in 1997.</w:t>
      </w:r>
    </w:p>
    <w:p w14:paraId="02E36683" w14:textId="77777777" w:rsidR="009F0877" w:rsidRPr="00F01DF4" w:rsidRDefault="009F0877" w:rsidP="00E8057E">
      <w:pPr>
        <w:pStyle w:val="FootnoteText"/>
        <w:spacing w:after="0" w:line="240" w:lineRule="auto"/>
        <w:contextualSpacing/>
        <w:jc w:val="both"/>
        <w:rPr>
          <w:rFonts w:cs="Calibri"/>
        </w:rPr>
      </w:pPr>
    </w:p>
  </w:footnote>
  <w:footnote w:id="12">
    <w:p w14:paraId="68E069BB"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NORDEFCO formed in 2009 to consolidate multiple Nordic </w:t>
      </w:r>
      <w:proofErr w:type="spellStart"/>
      <w:r w:rsidRPr="00F01DF4">
        <w:rPr>
          <w:rFonts w:cs="Calibri"/>
        </w:rPr>
        <w:t>defence</w:t>
      </w:r>
      <w:proofErr w:type="spellEnd"/>
      <w:r w:rsidRPr="00F01DF4">
        <w:rPr>
          <w:rFonts w:cs="Calibri"/>
        </w:rPr>
        <w:t xml:space="preserve"> initiatives. See </w:t>
      </w:r>
      <w:hyperlink r:id="rId2" w:history="1">
        <w:r w:rsidRPr="00F01DF4">
          <w:rPr>
            <w:rStyle w:val="Hyperlink"/>
            <w:rFonts w:cs="Calibri"/>
          </w:rPr>
          <w:t>http://www.nordefco.org/The-basics-about-NORDEFCO</w:t>
        </w:r>
      </w:hyperlink>
      <w:r w:rsidRPr="00F01DF4">
        <w:rPr>
          <w:rFonts w:cs="Calibri"/>
        </w:rPr>
        <w:t>.</w:t>
      </w:r>
    </w:p>
    <w:p w14:paraId="04452958" w14:textId="77777777" w:rsidR="009F0877" w:rsidRPr="00F01DF4" w:rsidRDefault="009F0877" w:rsidP="00E8057E">
      <w:pPr>
        <w:pStyle w:val="FootnoteText"/>
        <w:spacing w:after="0" w:line="240" w:lineRule="auto"/>
        <w:contextualSpacing/>
        <w:jc w:val="both"/>
        <w:rPr>
          <w:rFonts w:cs="Calibri"/>
        </w:rPr>
      </w:pPr>
    </w:p>
  </w:footnote>
  <w:footnote w:id="13">
    <w:p w14:paraId="6C4FC97E"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“Annual Report for COPA HR &amp; EDU – 2012,” Memorandum to the Nordic Military Coordination Committee, (21 December 2012)</w:t>
      </w:r>
    </w:p>
    <w:p w14:paraId="4BF1CD46" w14:textId="77777777" w:rsidR="009F0877" w:rsidRPr="00F01DF4" w:rsidRDefault="009F0877" w:rsidP="00E8057E">
      <w:pPr>
        <w:pStyle w:val="FootnoteText"/>
        <w:spacing w:after="0" w:line="240" w:lineRule="auto"/>
        <w:contextualSpacing/>
        <w:jc w:val="both"/>
        <w:rPr>
          <w:rFonts w:cs="Calibri"/>
        </w:rPr>
      </w:pPr>
    </w:p>
  </w:footnote>
  <w:footnote w:id="14">
    <w:p w14:paraId="165CE2DB"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For instance, the Euro-NATO Joint Jet Pilot Training Program was established in 1981 (“Euro-NATO Joint Jet Pilot Training Program Fact Sheet,” (January 2009) available at </w:t>
      </w:r>
      <w:hyperlink r:id="rId3" w:history="1">
        <w:r w:rsidRPr="00F01DF4">
          <w:rPr>
            <w:rStyle w:val="Hyperlink"/>
            <w:rFonts w:cs="Calibri"/>
          </w:rPr>
          <w:t>http://www.sheppard.af.mil/library/factsheetspage/factsheet.asp?fsID=5168</w:t>
        </w:r>
      </w:hyperlink>
      <w:r w:rsidRPr="00F01DF4">
        <w:rPr>
          <w:rFonts w:cs="Calibri"/>
        </w:rPr>
        <w:t>.</w:t>
      </w:r>
    </w:p>
    <w:p w14:paraId="047798AB" w14:textId="77777777" w:rsidR="009F0877" w:rsidRPr="00F01DF4" w:rsidRDefault="009F0877" w:rsidP="00E8057E">
      <w:pPr>
        <w:pStyle w:val="FootnoteText"/>
        <w:spacing w:after="0" w:line="240" w:lineRule="auto"/>
        <w:contextualSpacing/>
        <w:jc w:val="both"/>
        <w:rPr>
          <w:rFonts w:cs="Calibri"/>
        </w:rPr>
      </w:pPr>
    </w:p>
  </w:footnote>
  <w:footnote w:id="15">
    <w:p w14:paraId="7B2898EE" w14:textId="77777777" w:rsidR="009F0877" w:rsidRDefault="009F0877" w:rsidP="00E8057E">
      <w:pPr>
        <w:pStyle w:val="FootnoteText"/>
        <w:spacing w:after="0" w:line="240" w:lineRule="auto"/>
        <w:contextualSpacing/>
        <w:jc w:val="both"/>
        <w:rPr>
          <w:rFonts w:cs="Calibri"/>
          <w:bCs/>
          <w:spacing w:val="-10"/>
        </w:rPr>
      </w:pPr>
      <w:r w:rsidRPr="00F01DF4">
        <w:rPr>
          <w:rStyle w:val="FootnoteReference"/>
          <w:rFonts w:cs="Calibri"/>
        </w:rPr>
        <w:footnoteRef/>
      </w:r>
      <w:r w:rsidRPr="00F01DF4">
        <w:rPr>
          <w:rFonts w:cs="Calibri"/>
        </w:rPr>
        <w:t xml:space="preserve"> Gary Schaub, Jr. “</w:t>
      </w:r>
      <w:hyperlink r:id="rId4" w:history="1">
        <w:r w:rsidRPr="00F01DF4">
          <w:rPr>
            <w:rFonts w:cs="Calibri"/>
            <w:color w:val="0000FF"/>
            <w:u w:val="single"/>
          </w:rPr>
          <w:t>A PME survivor on how to fix the war college system: Take it back to the future</w:t>
        </w:r>
      </w:hyperlink>
      <w:r w:rsidRPr="00F01DF4">
        <w:rPr>
          <w:rFonts w:cs="Calibri"/>
        </w:rPr>
        <w:t xml:space="preserve">,” </w:t>
      </w:r>
      <w:r w:rsidRPr="00F01DF4">
        <w:rPr>
          <w:rFonts w:cs="Calibri"/>
          <w:i/>
        </w:rPr>
        <w:t>The Bes</w:t>
      </w:r>
      <w:r w:rsidRPr="00F01DF4">
        <w:rPr>
          <w:rFonts w:cs="Calibri"/>
        </w:rPr>
        <w:t>t</w:t>
      </w:r>
      <w:r w:rsidRPr="00F01DF4">
        <w:rPr>
          <w:rFonts w:cs="Calibri"/>
          <w:bCs/>
          <w:i/>
          <w:spacing w:val="-10"/>
        </w:rPr>
        <w:t xml:space="preserve"> Defense</w:t>
      </w:r>
      <w:r w:rsidRPr="00F01DF4">
        <w:rPr>
          <w:rFonts w:cs="Calibri"/>
          <w:bCs/>
          <w:spacing w:val="-10"/>
        </w:rPr>
        <w:t xml:space="preserve"> (23 May 2012).</w:t>
      </w:r>
    </w:p>
    <w:p w14:paraId="18770996" w14:textId="77777777" w:rsidR="009F0877" w:rsidRPr="00F01DF4" w:rsidRDefault="009F0877" w:rsidP="00E8057E">
      <w:pPr>
        <w:pStyle w:val="FootnoteText"/>
        <w:spacing w:after="0" w:line="240" w:lineRule="auto"/>
        <w:contextualSpacing/>
        <w:jc w:val="both"/>
        <w:rPr>
          <w:rFonts w:cs="Calibri"/>
        </w:rPr>
      </w:pPr>
    </w:p>
  </w:footnote>
  <w:footnote w:id="16">
    <w:p w14:paraId="5F7FE73B"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Jakobsen, </w:t>
      </w:r>
      <w:r w:rsidRPr="00F01DF4">
        <w:rPr>
          <w:rFonts w:cs="Calibri"/>
          <w:u w:val="single"/>
        </w:rPr>
        <w:t>Nordic Approaches to Peace Operations</w:t>
      </w:r>
      <w:r w:rsidRPr="00F01DF4">
        <w:rPr>
          <w:rFonts w:cs="Calibri"/>
        </w:rPr>
        <w:t>, page 32.</w:t>
      </w:r>
    </w:p>
    <w:p w14:paraId="48D6BD8A" w14:textId="77777777" w:rsidR="009F0877" w:rsidRPr="00F01DF4" w:rsidRDefault="009F0877" w:rsidP="00E8057E">
      <w:pPr>
        <w:pStyle w:val="FootnoteText"/>
        <w:spacing w:after="0" w:line="240" w:lineRule="auto"/>
        <w:contextualSpacing/>
        <w:jc w:val="both"/>
        <w:rPr>
          <w:rFonts w:cs="Calibri"/>
        </w:rPr>
      </w:pPr>
    </w:p>
  </w:footnote>
  <w:footnote w:id="17">
    <w:p w14:paraId="713241AE"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Jakobsen, </w:t>
      </w:r>
      <w:r w:rsidRPr="00F01DF4">
        <w:rPr>
          <w:rFonts w:cs="Calibri"/>
          <w:u w:val="single"/>
        </w:rPr>
        <w:t>Nordic Approaches to Peace Operations</w:t>
      </w:r>
      <w:r w:rsidRPr="00F01DF4">
        <w:rPr>
          <w:rFonts w:cs="Calibri"/>
        </w:rPr>
        <w:t>, page 211.</w:t>
      </w:r>
    </w:p>
    <w:p w14:paraId="300E954A" w14:textId="77777777" w:rsidR="009F0877" w:rsidRPr="00F01DF4" w:rsidRDefault="009F0877" w:rsidP="00E8057E">
      <w:pPr>
        <w:pStyle w:val="FootnoteText"/>
        <w:spacing w:after="0" w:line="240" w:lineRule="auto"/>
        <w:contextualSpacing/>
        <w:jc w:val="both"/>
        <w:rPr>
          <w:rFonts w:cs="Calibri"/>
        </w:rPr>
      </w:pPr>
    </w:p>
  </w:footnote>
  <w:footnote w:id="18">
    <w:p w14:paraId="3A821312"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“Training for Peace,” NORDEFCO website, available at http://nordefco.imaker.no/latest-updates/training-f/, accessed 15 June 2013.</w:t>
      </w:r>
    </w:p>
    <w:p w14:paraId="2B22758D" w14:textId="77777777" w:rsidR="009F0877" w:rsidRPr="00F01DF4" w:rsidRDefault="009F0877" w:rsidP="00E8057E">
      <w:pPr>
        <w:pStyle w:val="FootnoteText"/>
        <w:spacing w:after="0" w:line="240" w:lineRule="auto"/>
        <w:contextualSpacing/>
        <w:jc w:val="both"/>
        <w:rPr>
          <w:rFonts w:cs="Calibri"/>
        </w:rPr>
      </w:pPr>
    </w:p>
  </w:footnote>
  <w:footnote w:id="19">
    <w:p w14:paraId="64047E28"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“Courses at SWEDINT and How to Apply,” Swedish Armed Forces website, available at </w:t>
      </w:r>
      <w:hyperlink r:id="rId5" w:history="1">
        <w:r w:rsidRPr="00F01DF4">
          <w:rPr>
            <w:rStyle w:val="Hyperlink"/>
            <w:rFonts w:cs="Calibri"/>
          </w:rPr>
          <w:t>http://www.forsvarsmakten.se/en/Swedish-Armed-Forces-International-Centre/Courses-at-SWEDINT/</w:t>
        </w:r>
      </w:hyperlink>
      <w:r w:rsidRPr="00F01DF4">
        <w:rPr>
          <w:rFonts w:cs="Calibri"/>
        </w:rPr>
        <w:t>, accessed 15 June 2013.</w:t>
      </w:r>
    </w:p>
    <w:p w14:paraId="1B68BFDE" w14:textId="77777777" w:rsidR="009F0877" w:rsidRPr="00F01DF4" w:rsidRDefault="009F0877" w:rsidP="00E8057E">
      <w:pPr>
        <w:pStyle w:val="FootnoteText"/>
        <w:spacing w:after="0" w:line="240" w:lineRule="auto"/>
        <w:contextualSpacing/>
        <w:jc w:val="both"/>
        <w:rPr>
          <w:rFonts w:cs="Calibri"/>
        </w:rPr>
      </w:pPr>
    </w:p>
  </w:footnote>
  <w:footnote w:id="20">
    <w:p w14:paraId="1C955A61"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NORDCAPS Planning Element, “NORDCAPS Briefing,” (undated), Slide 11, available at </w:t>
      </w:r>
      <w:hyperlink r:id="rId6" w:history="1">
        <w:r w:rsidRPr="00F01DF4">
          <w:rPr>
            <w:rStyle w:val="Hyperlink"/>
            <w:rFonts w:cs="Calibri"/>
          </w:rPr>
          <w:t>http://www.powershow.com/view/13b8bd-MzNmN/NORDCAPS_Briefing_powerpoint_ppt_presentation</w:t>
        </w:r>
      </w:hyperlink>
    </w:p>
    <w:p w14:paraId="28B8ED98" w14:textId="77777777" w:rsidR="009F0877" w:rsidRPr="00F01DF4" w:rsidRDefault="009F0877" w:rsidP="00E8057E">
      <w:pPr>
        <w:pStyle w:val="FootnoteText"/>
        <w:spacing w:after="0" w:line="240" w:lineRule="auto"/>
        <w:contextualSpacing/>
        <w:jc w:val="both"/>
        <w:rPr>
          <w:rFonts w:cs="Calibri"/>
        </w:rPr>
      </w:pPr>
    </w:p>
  </w:footnote>
  <w:footnote w:id="21">
    <w:p w14:paraId="597F9617"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rPr>
        <w:t>“Annual Report for COPA HR &amp; EDU – 2012,” Memorandum to the Nordic Military Coordination Committee, (21 December 2012).</w:t>
      </w:r>
      <w:proofErr w:type="gramEnd"/>
    </w:p>
    <w:p w14:paraId="0EADE133" w14:textId="77777777" w:rsidR="009F0877" w:rsidRPr="00F01DF4" w:rsidRDefault="009F0877" w:rsidP="00E8057E">
      <w:pPr>
        <w:pStyle w:val="FootnoteText"/>
        <w:spacing w:after="0" w:line="240" w:lineRule="auto"/>
        <w:contextualSpacing/>
        <w:jc w:val="both"/>
        <w:rPr>
          <w:rFonts w:cs="Calibri"/>
        </w:rPr>
      </w:pPr>
    </w:p>
  </w:footnote>
  <w:footnote w:id="22">
    <w:p w14:paraId="3FA52A22"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NORDEFCO, “Courses 2013,” available at </w:t>
      </w:r>
      <w:hyperlink r:id="rId7" w:history="1">
        <w:r w:rsidRPr="00F01DF4">
          <w:rPr>
            <w:rStyle w:val="Hyperlink"/>
            <w:rFonts w:cs="Calibri"/>
            <w:color w:val="auto"/>
          </w:rPr>
          <w:t>http://www.nordefco.org/files/nordefco-courses-a4.pdf</w:t>
        </w:r>
      </w:hyperlink>
      <w:r w:rsidRPr="00F01DF4">
        <w:rPr>
          <w:rFonts w:cs="Calibri"/>
        </w:rPr>
        <w:t>.</w:t>
      </w:r>
    </w:p>
    <w:p w14:paraId="628350D1" w14:textId="77777777" w:rsidR="009F0877" w:rsidRPr="00F01DF4" w:rsidRDefault="009F0877" w:rsidP="00E8057E">
      <w:pPr>
        <w:pStyle w:val="FootnoteText"/>
        <w:spacing w:after="0" w:line="240" w:lineRule="auto"/>
        <w:contextualSpacing/>
        <w:jc w:val="both"/>
        <w:rPr>
          <w:rFonts w:cs="Calibri"/>
        </w:rPr>
      </w:pPr>
    </w:p>
  </w:footnote>
  <w:footnote w:id="23">
    <w:p w14:paraId="3E4E3491"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rPr>
        <w:t>“Annual Report for COPA HR &amp; EDU – 2012,” Memorandum to the Nordic Military Coordination Committee, (21 December 2012).</w:t>
      </w:r>
      <w:proofErr w:type="gramEnd"/>
    </w:p>
    <w:p w14:paraId="59436CD3" w14:textId="77777777" w:rsidR="009F0877" w:rsidRPr="00F01DF4" w:rsidRDefault="009F0877" w:rsidP="00E8057E">
      <w:pPr>
        <w:pStyle w:val="FootnoteText"/>
        <w:spacing w:after="0" w:line="240" w:lineRule="auto"/>
        <w:contextualSpacing/>
        <w:jc w:val="both"/>
        <w:rPr>
          <w:rFonts w:cs="Calibri"/>
        </w:rPr>
      </w:pPr>
    </w:p>
  </w:footnote>
  <w:footnote w:id="24">
    <w:p w14:paraId="0AB2C5CE"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“Annual Report for COPA HR &amp; EDU – 2012,” page G-4.</w:t>
      </w:r>
    </w:p>
    <w:p w14:paraId="3914801B" w14:textId="77777777" w:rsidR="009F0877" w:rsidRPr="00F01DF4" w:rsidRDefault="009F0877" w:rsidP="00E8057E">
      <w:pPr>
        <w:pStyle w:val="FootnoteText"/>
        <w:spacing w:after="0" w:line="240" w:lineRule="auto"/>
        <w:contextualSpacing/>
        <w:jc w:val="both"/>
        <w:rPr>
          <w:rFonts w:cs="Calibri"/>
        </w:rPr>
      </w:pPr>
    </w:p>
  </w:footnote>
  <w:footnote w:id="25">
    <w:p w14:paraId="075B1993"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The percentage of slots available for foreign officers varies from 1-3 percent in Finland, 5 percent in Denmark, 7-8 percent in Norway, and 10 percent in Sweden.  </w:t>
      </w:r>
    </w:p>
    <w:p w14:paraId="4CF0D68C" w14:textId="77777777" w:rsidR="009F0877" w:rsidRPr="00F01DF4" w:rsidRDefault="009F0877" w:rsidP="00E8057E">
      <w:pPr>
        <w:pStyle w:val="FootnoteText"/>
        <w:spacing w:after="0" w:line="240" w:lineRule="auto"/>
        <w:contextualSpacing/>
        <w:jc w:val="both"/>
        <w:rPr>
          <w:rFonts w:cs="Calibri"/>
        </w:rPr>
      </w:pPr>
    </w:p>
  </w:footnote>
  <w:footnote w:id="26">
    <w:p w14:paraId="4E6390E6" w14:textId="77777777" w:rsidR="009F0877" w:rsidRPr="00F01DF4" w:rsidRDefault="009F0877" w:rsidP="00E8057E">
      <w:pPr>
        <w:pStyle w:val="FootnoteText"/>
        <w:spacing w:after="0" w:line="240" w:lineRule="auto"/>
        <w:contextualSpacing/>
        <w:jc w:val="both"/>
        <w:rPr>
          <w:rFonts w:eastAsia="Times New Roman" w:cs="Calibri"/>
        </w:rPr>
      </w:pPr>
      <w:r w:rsidRPr="00F01DF4">
        <w:rPr>
          <w:rStyle w:val="FootnoteReference"/>
          <w:rFonts w:cs="Calibri"/>
        </w:rPr>
        <w:footnoteRef/>
      </w:r>
      <w:r w:rsidRPr="00F01DF4">
        <w:rPr>
          <w:rFonts w:cs="Calibri"/>
        </w:rPr>
        <w:t xml:space="preserve"> </w:t>
      </w:r>
      <w:proofErr w:type="gramStart"/>
      <w:r w:rsidRPr="00F01DF4">
        <w:rPr>
          <w:rFonts w:cs="Calibri"/>
        </w:rPr>
        <w:t xml:space="preserve">Personal communication with </w:t>
      </w:r>
      <w:proofErr w:type="spellStart"/>
      <w:r w:rsidRPr="00F01DF4">
        <w:rPr>
          <w:rFonts w:eastAsia="Times New Roman" w:cs="Calibri"/>
        </w:rPr>
        <w:t>Søren</w:t>
      </w:r>
      <w:proofErr w:type="spellEnd"/>
      <w:r w:rsidRPr="00F01DF4">
        <w:rPr>
          <w:rFonts w:eastAsia="Times New Roman" w:cs="Calibri"/>
        </w:rPr>
        <w:t xml:space="preserve"> Bach (11 April 2013).</w:t>
      </w:r>
      <w:proofErr w:type="gramEnd"/>
    </w:p>
    <w:p w14:paraId="5CBAB1CD" w14:textId="77777777" w:rsidR="009F0877" w:rsidRPr="00F01DF4" w:rsidRDefault="009F0877" w:rsidP="00E8057E">
      <w:pPr>
        <w:pStyle w:val="FootnoteText"/>
        <w:spacing w:after="0" w:line="240" w:lineRule="auto"/>
        <w:contextualSpacing/>
        <w:jc w:val="both"/>
        <w:rPr>
          <w:rFonts w:cs="Calibri"/>
        </w:rPr>
      </w:pPr>
    </w:p>
  </w:footnote>
  <w:footnote w:id="27">
    <w:p w14:paraId="262F100F" w14:textId="765D87A6" w:rsidR="009F0877" w:rsidRDefault="009F0877" w:rsidP="00E8057E">
      <w:pPr>
        <w:pStyle w:val="FootnoteText"/>
        <w:spacing w:after="0" w:line="240" w:lineRule="auto"/>
        <w:contextualSpacing/>
        <w:jc w:val="both"/>
      </w:pPr>
      <w:r w:rsidRPr="00F01DF4">
        <w:rPr>
          <w:rStyle w:val="FootnoteReference"/>
        </w:rPr>
        <w:footnoteRef/>
      </w:r>
      <w:r w:rsidRPr="00F01DF4">
        <w:t xml:space="preserve"> </w:t>
      </w:r>
      <w:r w:rsidRPr="00F01DF4">
        <w:rPr>
          <w:rFonts w:eastAsia="Times New Roman" w:cstheme="minorHAnsi"/>
        </w:rPr>
        <w:t>Rear Admiral Nils Wang, Commandant of the Royal Danish Defence College</w:t>
      </w:r>
      <w:r>
        <w:rPr>
          <w:rFonts w:eastAsia="Times New Roman" w:cstheme="minorHAnsi"/>
        </w:rPr>
        <w:t>,</w:t>
      </w:r>
      <w:r w:rsidRPr="00F01DF4">
        <w:rPr>
          <w:rFonts w:eastAsia="Times New Roman" w:cstheme="minorHAnsi"/>
        </w:rPr>
        <w:t xml:space="preserve"> says that his institution “</w:t>
      </w:r>
      <w:r w:rsidRPr="00F01DF4">
        <w:t>is already moving towards describing and certifying all Danish PME under the umbrella of the New Danish Qualification Framework. All Danish curricula are broadly within the scope and rage of NATO’s Reference Curriculum,” (personal communication with Nils Wang, (27 May 2013)).</w:t>
      </w:r>
    </w:p>
    <w:p w14:paraId="29B77F08" w14:textId="77777777" w:rsidR="009F0877" w:rsidRPr="00F01DF4" w:rsidRDefault="009F0877" w:rsidP="00E8057E">
      <w:pPr>
        <w:pStyle w:val="FootnoteText"/>
        <w:spacing w:after="0" w:line="240" w:lineRule="auto"/>
        <w:contextualSpacing/>
        <w:jc w:val="both"/>
      </w:pPr>
    </w:p>
  </w:footnote>
  <w:footnote w:id="28">
    <w:p w14:paraId="0143F50C"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rPr>
        <w:t xml:space="preserve">Personal communication with Morten </w:t>
      </w:r>
      <w:proofErr w:type="spellStart"/>
      <w:r w:rsidRPr="00F01DF4">
        <w:rPr>
          <w:rFonts w:cs="Calibri"/>
        </w:rPr>
        <w:t>Flagestad</w:t>
      </w:r>
      <w:proofErr w:type="spellEnd"/>
      <w:r w:rsidRPr="00F01DF4">
        <w:rPr>
          <w:rFonts w:cs="Calibri"/>
        </w:rPr>
        <w:t xml:space="preserve"> (18 February 2013).</w:t>
      </w:r>
      <w:proofErr w:type="gramEnd"/>
    </w:p>
    <w:p w14:paraId="271C6C3B" w14:textId="77777777" w:rsidR="009F0877" w:rsidRPr="00F01DF4" w:rsidRDefault="009F0877" w:rsidP="00E8057E">
      <w:pPr>
        <w:pStyle w:val="FootnoteText"/>
        <w:spacing w:after="0" w:line="240" w:lineRule="auto"/>
        <w:contextualSpacing/>
        <w:jc w:val="both"/>
        <w:rPr>
          <w:rFonts w:cs="Calibri"/>
        </w:rPr>
      </w:pPr>
    </w:p>
  </w:footnote>
  <w:footnote w:id="29">
    <w:p w14:paraId="0870E6FC"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rPr>
        <w:t xml:space="preserve">Personal communication with </w:t>
      </w:r>
      <w:r w:rsidRPr="00F01DF4">
        <w:rPr>
          <w:rFonts w:cs="Calibri"/>
          <w:bCs/>
        </w:rPr>
        <w:t xml:space="preserve">Nina </w:t>
      </w:r>
      <w:proofErr w:type="spellStart"/>
      <w:r w:rsidRPr="00F01DF4">
        <w:rPr>
          <w:rFonts w:cs="Calibri"/>
          <w:bCs/>
        </w:rPr>
        <w:t>Gemvik</w:t>
      </w:r>
      <w:proofErr w:type="spellEnd"/>
      <w:r w:rsidRPr="00F01DF4">
        <w:rPr>
          <w:rStyle w:val="apple-converted-space"/>
          <w:rFonts w:eastAsia="Times New Roman" w:cs="Calibri"/>
          <w:b/>
          <w:bCs/>
        </w:rPr>
        <w:t xml:space="preserve"> </w:t>
      </w:r>
      <w:r w:rsidRPr="00F01DF4">
        <w:rPr>
          <w:rFonts w:cs="Calibri"/>
        </w:rPr>
        <w:t>(11 February 2013).</w:t>
      </w:r>
      <w:proofErr w:type="gramEnd"/>
    </w:p>
    <w:p w14:paraId="6E59FE77" w14:textId="77777777" w:rsidR="009F0877" w:rsidRPr="00F01DF4" w:rsidRDefault="009F0877" w:rsidP="00E8057E">
      <w:pPr>
        <w:pStyle w:val="FootnoteText"/>
        <w:spacing w:after="0" w:line="240" w:lineRule="auto"/>
        <w:contextualSpacing/>
        <w:jc w:val="both"/>
        <w:rPr>
          <w:rFonts w:cs="Calibri"/>
        </w:rPr>
      </w:pPr>
    </w:p>
  </w:footnote>
  <w:footnote w:id="30">
    <w:p w14:paraId="0D84042C"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rPr>
        <w:t xml:space="preserve">Personal Communication with Captain Mika </w:t>
      </w:r>
      <w:proofErr w:type="spellStart"/>
      <w:r w:rsidRPr="00F01DF4">
        <w:rPr>
          <w:rFonts w:cs="Calibri"/>
        </w:rPr>
        <w:t>Penttinen</w:t>
      </w:r>
      <w:proofErr w:type="spellEnd"/>
      <w:r w:rsidRPr="00F01DF4">
        <w:rPr>
          <w:rFonts w:cs="Calibri"/>
        </w:rPr>
        <w:t xml:space="preserve"> (5 February 2013).</w:t>
      </w:r>
      <w:proofErr w:type="gramEnd"/>
    </w:p>
    <w:p w14:paraId="1CA0BB44" w14:textId="77777777" w:rsidR="009F0877" w:rsidRPr="00F01DF4" w:rsidRDefault="009F0877" w:rsidP="00E8057E">
      <w:pPr>
        <w:pStyle w:val="FootnoteText"/>
        <w:spacing w:after="0" w:line="240" w:lineRule="auto"/>
        <w:contextualSpacing/>
        <w:jc w:val="both"/>
        <w:rPr>
          <w:rFonts w:cs="Calibri"/>
        </w:rPr>
      </w:pPr>
    </w:p>
  </w:footnote>
  <w:footnote w:id="31">
    <w:p w14:paraId="5D3CEAC8"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See “The Bologna Declaration of 19 June 1999,” [http://www.eua.be/eua/jsp/en/upload/OFFDOC_BP_bologna_declaration.1068714825768.pdf]; and </w:t>
      </w:r>
      <w:proofErr w:type="spellStart"/>
      <w:r w:rsidRPr="00F01DF4">
        <w:rPr>
          <w:rFonts w:cs="Calibri"/>
        </w:rPr>
        <w:t>Jeroen</w:t>
      </w:r>
      <w:proofErr w:type="spellEnd"/>
      <w:r w:rsidRPr="00F01DF4">
        <w:rPr>
          <w:rFonts w:cs="Calibri"/>
        </w:rPr>
        <w:t xml:space="preserve"> </w:t>
      </w:r>
      <w:proofErr w:type="spellStart"/>
      <w:r w:rsidRPr="00F01DF4">
        <w:rPr>
          <w:rFonts w:cs="Calibri"/>
        </w:rPr>
        <w:t>Huisman</w:t>
      </w:r>
      <w:proofErr w:type="spellEnd"/>
      <w:r w:rsidRPr="00F01DF4">
        <w:rPr>
          <w:rFonts w:cs="Calibri"/>
        </w:rPr>
        <w:t xml:space="preserve">, </w:t>
      </w:r>
      <w:r w:rsidRPr="00F01DF4">
        <w:rPr>
          <w:rFonts w:eastAsia="Times New Roman" w:cs="Calibri"/>
          <w:color w:val="000000"/>
        </w:rPr>
        <w:t xml:space="preserve">Clifford Adelman, Chuo-Chun Hsieh, </w:t>
      </w:r>
      <w:proofErr w:type="spellStart"/>
      <w:r w:rsidRPr="00F01DF4">
        <w:rPr>
          <w:rFonts w:eastAsia="Times New Roman" w:cs="Calibri"/>
          <w:color w:val="000000"/>
        </w:rPr>
        <w:t>Farshid</w:t>
      </w:r>
      <w:proofErr w:type="spellEnd"/>
      <w:r w:rsidRPr="00F01DF4">
        <w:rPr>
          <w:rFonts w:eastAsia="Times New Roman" w:cs="Calibri"/>
          <w:color w:val="000000"/>
        </w:rPr>
        <w:t xml:space="preserve"> Shams, and Stephen Wilkins, </w:t>
      </w:r>
      <w:r w:rsidRPr="00F01DF4">
        <w:rPr>
          <w:rFonts w:cs="Calibri"/>
        </w:rPr>
        <w:t xml:space="preserve"> “Europe’s Bologna Process and Its Impact on Global Higher Education,” in Darla K. </w:t>
      </w:r>
      <w:proofErr w:type="spellStart"/>
      <w:r w:rsidRPr="00F01DF4">
        <w:rPr>
          <w:rFonts w:cs="Calibri"/>
        </w:rPr>
        <w:t>Deardorff</w:t>
      </w:r>
      <w:proofErr w:type="spellEnd"/>
      <w:r w:rsidRPr="00F01DF4">
        <w:rPr>
          <w:rFonts w:cs="Calibri"/>
        </w:rPr>
        <w:t xml:space="preserve">, Hans de Wit, John D. </w:t>
      </w:r>
      <w:proofErr w:type="spellStart"/>
      <w:r w:rsidRPr="00F01DF4">
        <w:rPr>
          <w:rFonts w:cs="Calibri"/>
        </w:rPr>
        <w:t>Heyl</w:t>
      </w:r>
      <w:proofErr w:type="spellEnd"/>
      <w:r w:rsidRPr="00F01DF4">
        <w:rPr>
          <w:rFonts w:cs="Calibri"/>
        </w:rPr>
        <w:t xml:space="preserve">, and Tony Adams, editors, </w:t>
      </w:r>
      <w:r w:rsidRPr="00F01DF4">
        <w:rPr>
          <w:rFonts w:cs="Calibri"/>
          <w:u w:val="single"/>
        </w:rPr>
        <w:t>The SAGE Handbook of International Higher Education</w:t>
      </w:r>
      <w:r w:rsidRPr="00F01DF4">
        <w:rPr>
          <w:rFonts w:cs="Calibri"/>
        </w:rPr>
        <w:t xml:space="preserve">, (Thousand Oaks, CA: 2012); and </w:t>
      </w:r>
      <w:r w:rsidRPr="00F01DF4">
        <w:rPr>
          <w:rFonts w:cs="Calibri"/>
          <w:i/>
        </w:rPr>
        <w:t>Copenhagen Declaration</w:t>
      </w:r>
      <w:r w:rsidRPr="00F01DF4">
        <w:rPr>
          <w:rFonts w:cs="Calibri"/>
        </w:rPr>
        <w:t>, 30 November 2002, [</w:t>
      </w:r>
      <w:hyperlink r:id="rId8" w:history="1">
        <w:r w:rsidRPr="00F01DF4">
          <w:rPr>
            <w:rStyle w:val="Hyperlink"/>
            <w:rFonts w:cs="Calibri"/>
          </w:rPr>
          <w:t>http://ec.europa.eu/education/pdf/doc125_en.pdf</w:t>
        </w:r>
      </w:hyperlink>
      <w:r w:rsidRPr="00F01DF4">
        <w:rPr>
          <w:rFonts w:cs="Calibri"/>
        </w:rPr>
        <w:t>]; Europa: Summaries of EU legislation, “The Copenhagen Process: Enhanced European Cooperation in Vocational Education and Training,” last updated 08.04.2011, [http://europa.eu/legislation_summaries/education_training_youth/vocational_training/ef0018_en.htm].</w:t>
      </w:r>
    </w:p>
    <w:p w14:paraId="0507D4A6" w14:textId="77777777" w:rsidR="009F0877" w:rsidRPr="00F01DF4" w:rsidRDefault="009F0877" w:rsidP="00E8057E">
      <w:pPr>
        <w:pStyle w:val="FootnoteText"/>
        <w:spacing w:after="0" w:line="240" w:lineRule="auto"/>
        <w:contextualSpacing/>
        <w:jc w:val="both"/>
        <w:rPr>
          <w:rFonts w:cs="Calibri"/>
        </w:rPr>
      </w:pPr>
    </w:p>
  </w:footnote>
  <w:footnote w:id="32">
    <w:p w14:paraId="18759D8D"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Johanna Witte, M. V. </w:t>
      </w:r>
      <w:proofErr w:type="spellStart"/>
      <w:r w:rsidRPr="00F01DF4">
        <w:rPr>
          <w:rFonts w:cs="Calibri"/>
        </w:rPr>
        <w:t>Wende</w:t>
      </w:r>
      <w:proofErr w:type="spellEnd"/>
      <w:r w:rsidRPr="00F01DF4">
        <w:rPr>
          <w:rFonts w:cs="Calibri"/>
        </w:rPr>
        <w:t xml:space="preserve">, and </w:t>
      </w:r>
      <w:proofErr w:type="spellStart"/>
      <w:r w:rsidRPr="00F01DF4">
        <w:rPr>
          <w:rFonts w:cs="Calibri"/>
        </w:rPr>
        <w:t>Jeroen</w:t>
      </w:r>
      <w:proofErr w:type="spellEnd"/>
      <w:r w:rsidRPr="00F01DF4">
        <w:rPr>
          <w:rFonts w:cs="Calibri"/>
        </w:rPr>
        <w:t xml:space="preserve"> </w:t>
      </w:r>
      <w:proofErr w:type="spellStart"/>
      <w:r w:rsidRPr="00F01DF4">
        <w:rPr>
          <w:rFonts w:cs="Calibri"/>
        </w:rPr>
        <w:t>Huisman</w:t>
      </w:r>
      <w:proofErr w:type="spellEnd"/>
      <w:r w:rsidRPr="00F01DF4">
        <w:rPr>
          <w:rFonts w:cs="Calibri"/>
        </w:rPr>
        <w:t xml:space="preserve">,“Blurring Boundaries: How the Bologna Process Changes the Relationship Between University and Non-university Higher Education in Germany, the Netherlands and France,” </w:t>
      </w:r>
      <w:r w:rsidRPr="00F01DF4">
        <w:rPr>
          <w:rFonts w:cs="Calibri"/>
          <w:i/>
        </w:rPr>
        <w:t>Studies in Higher Education</w:t>
      </w:r>
      <w:r w:rsidRPr="00F01DF4">
        <w:rPr>
          <w:rFonts w:cs="Calibri"/>
        </w:rPr>
        <w:t xml:space="preserve"> 33, 3 (June 2008).</w:t>
      </w:r>
    </w:p>
    <w:p w14:paraId="7329FB5E" w14:textId="77777777" w:rsidR="009F0877" w:rsidRPr="00F01DF4" w:rsidRDefault="009F0877" w:rsidP="00E8057E">
      <w:pPr>
        <w:pStyle w:val="FootnoteText"/>
        <w:spacing w:after="0" w:line="240" w:lineRule="auto"/>
        <w:contextualSpacing/>
        <w:jc w:val="both"/>
        <w:rPr>
          <w:rFonts w:cs="Calibri"/>
        </w:rPr>
      </w:pPr>
    </w:p>
  </w:footnote>
  <w:footnote w:id="33">
    <w:p w14:paraId="2C9D3A7D"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Ron Tuck, </w:t>
      </w:r>
      <w:r w:rsidRPr="00F01DF4">
        <w:rPr>
          <w:rFonts w:cs="Calibri"/>
          <w:u w:val="single"/>
        </w:rPr>
        <w:t>An Introductory Guide to National Qualifications Frameworks: Conceptual and Practical Issues for Policy Makers</w:t>
      </w:r>
      <w:r w:rsidRPr="00F01DF4">
        <w:rPr>
          <w:rFonts w:cs="Calibri"/>
        </w:rPr>
        <w:t xml:space="preserve">, (France, International Labor Organization, 2007), page 5, available at: </w:t>
      </w:r>
      <w:hyperlink r:id="rId9" w:history="1">
        <w:r w:rsidRPr="00F01DF4">
          <w:rPr>
            <w:rStyle w:val="Hyperlink"/>
            <w:rFonts w:cs="Calibri"/>
            <w:color w:val="auto"/>
          </w:rPr>
          <w:t>http://www.ilo.org/wcmsp5/groups/public/@ed_emp/@ifp_skills/documents/instructionalmaterial/wcms_103623.pdf</w:t>
        </w:r>
      </w:hyperlink>
      <w:r w:rsidRPr="00F01DF4">
        <w:rPr>
          <w:rFonts w:cs="Calibri"/>
        </w:rPr>
        <w:t>.</w:t>
      </w:r>
    </w:p>
    <w:p w14:paraId="26D99245" w14:textId="77777777" w:rsidR="009F0877" w:rsidRPr="00F01DF4" w:rsidRDefault="009F0877" w:rsidP="00E8057E">
      <w:pPr>
        <w:pStyle w:val="FootnoteText"/>
        <w:spacing w:after="0" w:line="240" w:lineRule="auto"/>
        <w:contextualSpacing/>
        <w:jc w:val="both"/>
        <w:rPr>
          <w:rFonts w:cs="Calibri"/>
        </w:rPr>
      </w:pPr>
    </w:p>
  </w:footnote>
  <w:footnote w:id="34">
    <w:p w14:paraId="03CD3823"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spellStart"/>
      <w:r w:rsidRPr="00F01DF4">
        <w:rPr>
          <w:rFonts w:cs="Calibri"/>
        </w:rPr>
        <w:t>Jeroen</w:t>
      </w:r>
      <w:proofErr w:type="spellEnd"/>
      <w:r w:rsidRPr="00F01DF4">
        <w:rPr>
          <w:rFonts w:cs="Calibri"/>
        </w:rPr>
        <w:t xml:space="preserve"> </w:t>
      </w:r>
      <w:proofErr w:type="spellStart"/>
      <w:r w:rsidRPr="00F01DF4">
        <w:rPr>
          <w:rFonts w:cs="Calibri"/>
        </w:rPr>
        <w:t>Huisman</w:t>
      </w:r>
      <w:proofErr w:type="spellEnd"/>
      <w:r w:rsidRPr="00F01DF4">
        <w:rPr>
          <w:rFonts w:cs="Calibri"/>
        </w:rPr>
        <w:t xml:space="preserve"> and Don F. </w:t>
      </w:r>
      <w:proofErr w:type="spellStart"/>
      <w:r w:rsidRPr="00F01DF4">
        <w:rPr>
          <w:rFonts w:cs="Calibri"/>
        </w:rPr>
        <w:t>Westerheiden</w:t>
      </w:r>
      <w:proofErr w:type="spellEnd"/>
      <w:r w:rsidRPr="00F01DF4">
        <w:rPr>
          <w:rFonts w:cs="Calibri"/>
        </w:rPr>
        <w:t xml:space="preserve">, “Bologna and Quality Assurance: Progress Made or Pulling the Wrong Cart?” </w:t>
      </w:r>
      <w:r w:rsidRPr="00F01DF4">
        <w:rPr>
          <w:rFonts w:cs="Calibri"/>
          <w:i/>
        </w:rPr>
        <w:t>Quality in Higher Education</w:t>
      </w:r>
      <w:r w:rsidRPr="00F01DF4">
        <w:rPr>
          <w:rFonts w:cs="Calibri"/>
        </w:rPr>
        <w:t xml:space="preserve"> 16, 1 (April 2010), page 83; </w:t>
      </w:r>
      <w:proofErr w:type="spellStart"/>
      <w:r w:rsidRPr="00F01DF4">
        <w:rPr>
          <w:rFonts w:cs="Calibri"/>
        </w:rPr>
        <w:t>Tanja</w:t>
      </w:r>
      <w:proofErr w:type="spellEnd"/>
      <w:r w:rsidRPr="00F01DF4">
        <w:rPr>
          <w:rFonts w:cs="Calibri"/>
        </w:rPr>
        <w:t xml:space="preserve"> A. </w:t>
      </w:r>
      <w:proofErr w:type="spellStart"/>
      <w:r w:rsidRPr="00F01DF4">
        <w:rPr>
          <w:rFonts w:cs="Calibri"/>
        </w:rPr>
        <w:t>Börzel</w:t>
      </w:r>
      <w:proofErr w:type="spellEnd"/>
      <w:r w:rsidRPr="00F01DF4">
        <w:rPr>
          <w:rFonts w:cs="Calibri"/>
        </w:rPr>
        <w:t xml:space="preserve"> and Thomas </w:t>
      </w:r>
      <w:proofErr w:type="spellStart"/>
      <w:r w:rsidRPr="00F01DF4">
        <w:rPr>
          <w:rFonts w:cs="Calibri"/>
        </w:rPr>
        <w:t>Risse</w:t>
      </w:r>
      <w:proofErr w:type="spellEnd"/>
      <w:r w:rsidRPr="00F01DF4">
        <w:rPr>
          <w:rFonts w:cs="Calibri"/>
        </w:rPr>
        <w:t xml:space="preserve">, “When </w:t>
      </w:r>
      <w:proofErr w:type="spellStart"/>
      <w:r w:rsidRPr="00F01DF4">
        <w:rPr>
          <w:rFonts w:cs="Calibri"/>
        </w:rPr>
        <w:t>Europeanisation</w:t>
      </w:r>
      <w:proofErr w:type="spellEnd"/>
      <w:r w:rsidRPr="00F01DF4">
        <w:rPr>
          <w:rFonts w:cs="Calibri"/>
        </w:rPr>
        <w:t xml:space="preserve"> Meets Diffusion: Exploring New Territory,” </w:t>
      </w:r>
      <w:r w:rsidRPr="00F01DF4">
        <w:rPr>
          <w:rFonts w:cs="Calibri"/>
          <w:i/>
        </w:rPr>
        <w:t>West European Politics</w:t>
      </w:r>
      <w:r w:rsidRPr="00F01DF4">
        <w:rPr>
          <w:rFonts w:cs="Calibri"/>
        </w:rPr>
        <w:t xml:space="preserve"> 35, 1 (2012).</w:t>
      </w:r>
    </w:p>
    <w:p w14:paraId="72EF4CBC" w14:textId="77777777" w:rsidR="009F0877" w:rsidRPr="00F01DF4" w:rsidRDefault="009F0877" w:rsidP="00E8057E">
      <w:pPr>
        <w:pStyle w:val="FootnoteText"/>
        <w:spacing w:after="0" w:line="240" w:lineRule="auto"/>
        <w:contextualSpacing/>
        <w:jc w:val="both"/>
        <w:rPr>
          <w:rFonts w:cs="Calibri"/>
        </w:rPr>
      </w:pPr>
    </w:p>
  </w:footnote>
  <w:footnote w:id="35">
    <w:p w14:paraId="6931FE8B" w14:textId="749D0CEC" w:rsidR="009F0877" w:rsidRDefault="009F0877" w:rsidP="00E8057E">
      <w:pPr>
        <w:pStyle w:val="FootnoteText"/>
        <w:spacing w:after="0" w:line="240" w:lineRule="auto"/>
        <w:contextualSpacing/>
        <w:jc w:val="both"/>
      </w:pPr>
      <w:r>
        <w:rPr>
          <w:rStyle w:val="FootnoteReference"/>
        </w:rPr>
        <w:footnoteRef/>
      </w:r>
      <w:r>
        <w:t xml:space="preserve"> </w:t>
      </w:r>
      <w:r w:rsidRPr="00492E71">
        <w:t xml:space="preserve">Sylvain </w:t>
      </w:r>
      <w:proofErr w:type="spellStart"/>
      <w:r w:rsidRPr="00492E71">
        <w:t>Paile</w:t>
      </w:r>
      <w:proofErr w:type="spellEnd"/>
      <w:r w:rsidRPr="00492E71">
        <w:t xml:space="preserve">, </w:t>
      </w:r>
      <w:r w:rsidRPr="00492E71">
        <w:rPr>
          <w:u w:val="single"/>
        </w:rPr>
        <w:t>Europe for the Future Officers, Officers for the Future Europe: Compendium of the European Military Officers Basic Education</w:t>
      </w:r>
      <w:r w:rsidRPr="00492E71">
        <w:t>, (Warsaw: Polish Ministry of National Defence, September 2011</w:t>
      </w:r>
      <w:r>
        <w:t>).</w:t>
      </w:r>
    </w:p>
    <w:p w14:paraId="42669633" w14:textId="77777777" w:rsidR="009F0877" w:rsidRDefault="009F0877" w:rsidP="00E8057E">
      <w:pPr>
        <w:pStyle w:val="FootnoteText"/>
        <w:spacing w:after="0" w:line="240" w:lineRule="auto"/>
        <w:contextualSpacing/>
        <w:jc w:val="both"/>
      </w:pPr>
    </w:p>
  </w:footnote>
  <w:footnote w:id="36">
    <w:p w14:paraId="0B91C2AA" w14:textId="433FCA3A" w:rsidR="009F0877" w:rsidRDefault="009F0877" w:rsidP="00E8057E">
      <w:pPr>
        <w:pStyle w:val="FootnoteText"/>
        <w:spacing w:after="0" w:line="240" w:lineRule="auto"/>
        <w:contextualSpacing/>
        <w:jc w:val="both"/>
      </w:pPr>
      <w:r w:rsidRPr="00EA62E9">
        <w:rPr>
          <w:rStyle w:val="FootnoteReference"/>
        </w:rPr>
        <w:footnoteRef/>
      </w:r>
      <w:r w:rsidRPr="00EA62E9">
        <w:t xml:space="preserve"> Scores taken from national tables in </w:t>
      </w:r>
      <w:proofErr w:type="spellStart"/>
      <w:r w:rsidRPr="00EA62E9">
        <w:t>Paile</w:t>
      </w:r>
      <w:proofErr w:type="spellEnd"/>
      <w:r w:rsidRPr="00EA62E9">
        <w:t xml:space="preserve">, </w:t>
      </w:r>
      <w:r w:rsidRPr="00EA62E9">
        <w:rPr>
          <w:u w:val="single"/>
        </w:rPr>
        <w:t>Europe for the Future Officers</w:t>
      </w:r>
      <w:r w:rsidRPr="00EA62E9">
        <w:t>, pages 53-226.</w:t>
      </w:r>
    </w:p>
    <w:p w14:paraId="7F9130F1" w14:textId="77777777" w:rsidR="009F0877" w:rsidRDefault="009F0877" w:rsidP="00E8057E">
      <w:pPr>
        <w:pStyle w:val="FootnoteText"/>
        <w:spacing w:after="0" w:line="240" w:lineRule="auto"/>
        <w:contextualSpacing/>
        <w:jc w:val="both"/>
      </w:pPr>
    </w:p>
  </w:footnote>
  <w:footnote w:id="37">
    <w:p w14:paraId="0CFA7E8F" w14:textId="77777777" w:rsidR="009F0877" w:rsidRPr="00EA62E9" w:rsidRDefault="009F0877" w:rsidP="00E8057E">
      <w:pPr>
        <w:pStyle w:val="FootnoteText"/>
        <w:spacing w:after="0" w:line="240" w:lineRule="auto"/>
        <w:contextualSpacing/>
        <w:jc w:val="both"/>
      </w:pPr>
      <w:r w:rsidRPr="00EA62E9">
        <w:rPr>
          <w:rStyle w:val="FootnoteReference"/>
        </w:rPr>
        <w:footnoteRef/>
      </w:r>
      <w:r w:rsidRPr="00EA62E9">
        <w:t xml:space="preserve"> Scores taken from national tables in </w:t>
      </w:r>
      <w:proofErr w:type="spellStart"/>
      <w:r w:rsidRPr="00EA62E9">
        <w:t>Paile</w:t>
      </w:r>
      <w:proofErr w:type="spellEnd"/>
      <w:r w:rsidRPr="00EA62E9">
        <w:t xml:space="preserve">, </w:t>
      </w:r>
      <w:r w:rsidRPr="00EA62E9">
        <w:rPr>
          <w:u w:val="single"/>
        </w:rPr>
        <w:t>Europe for the Future Officers</w:t>
      </w:r>
      <w:r w:rsidRPr="00EA62E9">
        <w:t>, pages 53-226.</w:t>
      </w:r>
    </w:p>
    <w:p w14:paraId="00D5EE79" w14:textId="77777777" w:rsidR="009F0877" w:rsidRDefault="009F0877" w:rsidP="00E8057E">
      <w:pPr>
        <w:pStyle w:val="FootnoteText"/>
        <w:spacing w:after="0" w:line="240" w:lineRule="auto"/>
        <w:contextualSpacing/>
        <w:jc w:val="both"/>
      </w:pPr>
    </w:p>
  </w:footnote>
  <w:footnote w:id="38">
    <w:p w14:paraId="69559D73" w14:textId="28D3BE86" w:rsidR="009F0877" w:rsidRPr="00F01DF4" w:rsidRDefault="009F0877" w:rsidP="00E8057E">
      <w:pPr>
        <w:spacing w:after="0" w:line="240" w:lineRule="auto"/>
        <w:contextualSpacing/>
        <w:jc w:val="both"/>
        <w:rPr>
          <w:rFonts w:eastAsia="Times New Roman"/>
          <w:sz w:val="20"/>
          <w:szCs w:val="20"/>
        </w:rPr>
      </w:pPr>
      <w:r w:rsidRPr="00F01DF4">
        <w:rPr>
          <w:rStyle w:val="FootnoteReference"/>
          <w:rFonts w:cs="Calibri"/>
          <w:sz w:val="20"/>
          <w:szCs w:val="20"/>
        </w:rPr>
        <w:footnoteRef/>
      </w:r>
      <w:r w:rsidRPr="00F01DF4">
        <w:rPr>
          <w:rFonts w:cs="Calibri"/>
          <w:sz w:val="20"/>
          <w:szCs w:val="20"/>
        </w:rPr>
        <w:t xml:space="preserve"> </w:t>
      </w:r>
      <w:proofErr w:type="gramStart"/>
      <w:r w:rsidRPr="00F01DF4">
        <w:rPr>
          <w:rFonts w:cs="Calibri"/>
          <w:sz w:val="20"/>
          <w:szCs w:val="20"/>
        </w:rPr>
        <w:t xml:space="preserve">Personal communication with Ole </w:t>
      </w:r>
      <w:proofErr w:type="spellStart"/>
      <w:r w:rsidRPr="00F01DF4">
        <w:rPr>
          <w:rFonts w:eastAsia="Times New Roman"/>
          <w:color w:val="000000"/>
          <w:sz w:val="20"/>
          <w:szCs w:val="20"/>
        </w:rPr>
        <w:t>Kværnø</w:t>
      </w:r>
      <w:proofErr w:type="spellEnd"/>
      <w:r w:rsidRPr="00F01DF4">
        <w:rPr>
          <w:rFonts w:eastAsia="Times New Roman"/>
          <w:color w:val="000000"/>
          <w:sz w:val="20"/>
          <w:szCs w:val="20"/>
        </w:rPr>
        <w:t>, Director, Institute for Strategy, Royal Danish Defence College (29 June 2013)</w:t>
      </w:r>
      <w:r w:rsidRPr="00F01DF4">
        <w:rPr>
          <w:rFonts w:cs="Calibri"/>
          <w:sz w:val="20"/>
          <w:szCs w:val="20"/>
        </w:rPr>
        <w:t>.</w:t>
      </w:r>
      <w:proofErr w:type="gramEnd"/>
    </w:p>
  </w:footnote>
  <w:footnote w:id="39">
    <w:p w14:paraId="14863240" w14:textId="77777777" w:rsidR="009F0877" w:rsidRPr="00F01DF4" w:rsidRDefault="009F0877" w:rsidP="00E8057E">
      <w:pPr>
        <w:pStyle w:val="FootnoteText"/>
        <w:spacing w:after="0" w:line="240" w:lineRule="auto"/>
        <w:contextualSpacing/>
        <w:jc w:val="both"/>
        <w:rPr>
          <w:rFonts w:cs="Calibri"/>
        </w:rPr>
      </w:pPr>
    </w:p>
    <w:p w14:paraId="7B42832F"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spellStart"/>
      <w:r w:rsidRPr="00F01DF4">
        <w:rPr>
          <w:rFonts w:cs="Calibri"/>
        </w:rPr>
        <w:t>Corum</w:t>
      </w:r>
      <w:proofErr w:type="spellEnd"/>
      <w:r w:rsidRPr="00F01DF4">
        <w:rPr>
          <w:rFonts w:cs="Calibri"/>
        </w:rPr>
        <w:t>, “Some Key Principles of Multinational Military Education,” page 22.</w:t>
      </w:r>
    </w:p>
    <w:p w14:paraId="41AF9C48" w14:textId="77777777" w:rsidR="009F0877" w:rsidRPr="00F01DF4" w:rsidRDefault="009F0877" w:rsidP="00E8057E">
      <w:pPr>
        <w:pStyle w:val="FootnoteText"/>
        <w:spacing w:after="0" w:line="240" w:lineRule="auto"/>
        <w:contextualSpacing/>
        <w:jc w:val="both"/>
        <w:rPr>
          <w:rFonts w:cs="Calibri"/>
        </w:rPr>
      </w:pPr>
    </w:p>
  </w:footnote>
  <w:footnote w:id="40">
    <w:p w14:paraId="090B59E4"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“Annual Report for COPA HR &amp; EDU – 2012,” page G-4.</w:t>
      </w:r>
    </w:p>
    <w:p w14:paraId="13842A3E" w14:textId="77777777" w:rsidR="009F0877" w:rsidRPr="00F01DF4" w:rsidRDefault="009F0877" w:rsidP="00E8057E">
      <w:pPr>
        <w:pStyle w:val="FootnoteText"/>
        <w:spacing w:after="0" w:line="240" w:lineRule="auto"/>
        <w:contextualSpacing/>
        <w:jc w:val="both"/>
        <w:rPr>
          <w:rFonts w:cs="Calibri"/>
        </w:rPr>
      </w:pPr>
    </w:p>
  </w:footnote>
  <w:footnote w:id="41">
    <w:p w14:paraId="505538A8" w14:textId="77777777" w:rsidR="009F0877"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See </w:t>
      </w:r>
      <w:proofErr w:type="spellStart"/>
      <w:r w:rsidRPr="00F01DF4">
        <w:rPr>
          <w:rFonts w:cs="Calibri"/>
        </w:rPr>
        <w:t>Corum</w:t>
      </w:r>
      <w:proofErr w:type="spellEnd"/>
      <w:r w:rsidRPr="00F01DF4">
        <w:rPr>
          <w:rFonts w:cs="Calibri"/>
        </w:rPr>
        <w:t>, “Some Key Principles of Multinational Military Education,” for a discussion of the structure of the Baltic Defence College.</w:t>
      </w:r>
    </w:p>
    <w:p w14:paraId="000F81FE" w14:textId="77777777" w:rsidR="009F0877" w:rsidRPr="00F01DF4" w:rsidRDefault="009F0877" w:rsidP="00E8057E">
      <w:pPr>
        <w:pStyle w:val="FootnoteText"/>
        <w:spacing w:after="0" w:line="240" w:lineRule="auto"/>
        <w:contextualSpacing/>
        <w:jc w:val="both"/>
        <w:rPr>
          <w:rFonts w:cs="Calibri"/>
        </w:rPr>
      </w:pPr>
    </w:p>
  </w:footnote>
  <w:footnote w:id="42">
    <w:p w14:paraId="706B5E58"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On CJEX, see Defence Academy of the United Kingdom, </w:t>
      </w:r>
      <w:r w:rsidRPr="00F01DF4">
        <w:rPr>
          <w:rFonts w:cs="Calibri"/>
          <w:u w:val="single"/>
        </w:rPr>
        <w:t>Advanced Command and Staff Course: Joint Services Command and Staff College</w:t>
      </w:r>
      <w:r w:rsidRPr="00F01DF4">
        <w:rPr>
          <w:rFonts w:cs="Calibri"/>
        </w:rPr>
        <w:t xml:space="preserve">, (November 2012), page 26-27), available at: </w:t>
      </w:r>
      <w:hyperlink r:id="rId10" w:history="1">
        <w:r w:rsidRPr="00F01DF4">
          <w:rPr>
            <w:rStyle w:val="Hyperlink"/>
            <w:rFonts w:cs="Calibri"/>
          </w:rPr>
          <w:t>http://www.da.mod.uk/prospectus/jscsc/acsc/at_download/courseFlyer</w:t>
        </w:r>
      </w:hyperlink>
      <w:r w:rsidRPr="00F01DF4">
        <w:rPr>
          <w:rStyle w:val="Hyperlink"/>
          <w:rFonts w:cs="Calibri"/>
        </w:rPr>
        <w:t>.</w:t>
      </w:r>
    </w:p>
  </w:footnote>
  <w:footnote w:id="43">
    <w:p w14:paraId="620F4396" w14:textId="77777777" w:rsidR="009F0877" w:rsidRPr="00F01DF4" w:rsidRDefault="009F0877" w:rsidP="00E8057E">
      <w:pPr>
        <w:pStyle w:val="FootnoteText"/>
        <w:spacing w:after="0" w:line="240" w:lineRule="auto"/>
        <w:contextualSpacing/>
        <w:jc w:val="both"/>
        <w:rPr>
          <w:rFonts w:cs="Calibri"/>
        </w:rPr>
      </w:pPr>
    </w:p>
    <w:p w14:paraId="7EA0C7CD" w14:textId="77777777" w:rsidR="009F0877"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Indeed, Denmark is pursuing such an option with the Baltic Defence College, (</w:t>
      </w:r>
      <w:proofErr w:type="spellStart"/>
      <w:r w:rsidRPr="00F01DF4">
        <w:rPr>
          <w:rFonts w:cs="Calibri"/>
        </w:rPr>
        <w:t>Corum</w:t>
      </w:r>
      <w:proofErr w:type="spellEnd"/>
      <w:r w:rsidRPr="00F01DF4">
        <w:rPr>
          <w:rFonts w:cs="Calibri"/>
        </w:rPr>
        <w:t xml:space="preserve">, “Some Key Principles of Multinational Military Education,” pages 23, 16). </w:t>
      </w:r>
    </w:p>
    <w:p w14:paraId="6DFAAB3D" w14:textId="77777777" w:rsidR="009F0877" w:rsidRPr="00F01DF4" w:rsidRDefault="009F0877" w:rsidP="00E8057E">
      <w:pPr>
        <w:pStyle w:val="FootnoteText"/>
        <w:spacing w:after="0" w:line="240" w:lineRule="auto"/>
        <w:contextualSpacing/>
        <w:jc w:val="both"/>
        <w:rPr>
          <w:rFonts w:cs="Calibri"/>
        </w:rPr>
      </w:pPr>
    </w:p>
  </w:footnote>
  <w:footnote w:id="44">
    <w:p w14:paraId="791DFC67" w14:textId="77777777" w:rsidR="009F0877" w:rsidRPr="00F01DF4" w:rsidRDefault="009F0877" w:rsidP="00E8057E">
      <w:pPr>
        <w:pStyle w:val="FootnoteText"/>
        <w:spacing w:after="0" w:line="240" w:lineRule="auto"/>
        <w:contextualSpacing/>
        <w:jc w:val="both"/>
        <w:rPr>
          <w:rStyle w:val="apple-converted-space"/>
          <w:rFonts w:cs="Calibri"/>
          <w:color w:val="333333"/>
          <w:shd w:val="clear" w:color="auto" w:fill="FFFFFF"/>
        </w:rPr>
      </w:pPr>
      <w:r w:rsidRPr="00F01DF4">
        <w:rPr>
          <w:rStyle w:val="FootnoteReference"/>
          <w:rFonts w:cs="Calibri"/>
        </w:rPr>
        <w:footnoteRef/>
      </w:r>
      <w:r w:rsidRPr="00F01DF4">
        <w:rPr>
          <w:rFonts w:cs="Calibri"/>
        </w:rPr>
        <w:t xml:space="preserve"> I.e., </w:t>
      </w:r>
      <w:r w:rsidRPr="00F01DF4">
        <w:rPr>
          <w:rFonts w:cs="Calibri"/>
          <w:color w:val="333333"/>
          <w:shd w:val="clear" w:color="auto" w:fill="FFFFFF"/>
        </w:rPr>
        <w:t xml:space="preserve">Poland, Hungary, the Czech Republic, and Slovakia and </w:t>
      </w:r>
      <w:r w:rsidRPr="00F01DF4">
        <w:rPr>
          <w:rStyle w:val="apple-converted-space"/>
          <w:rFonts w:cs="Calibri"/>
          <w:color w:val="333333"/>
          <w:shd w:val="clear" w:color="auto" w:fill="FFFFFF"/>
        </w:rPr>
        <w:t>Albania, Bulgaria, Greece, Italy, Republic of Macedonia, Romania, and Turkey.</w:t>
      </w:r>
    </w:p>
    <w:p w14:paraId="0E690238" w14:textId="77777777" w:rsidR="009F0877" w:rsidRPr="00F01DF4" w:rsidRDefault="009F0877" w:rsidP="00E8057E">
      <w:pPr>
        <w:pStyle w:val="FootnoteText"/>
        <w:spacing w:after="0" w:line="240" w:lineRule="auto"/>
        <w:contextualSpacing/>
        <w:jc w:val="both"/>
        <w:rPr>
          <w:rFonts w:cs="Calibri"/>
        </w:rPr>
      </w:pPr>
    </w:p>
  </w:footnote>
  <w:footnote w:id="45">
    <w:p w14:paraId="6D86C920"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gramStart"/>
      <w:r w:rsidRPr="00F01DF4">
        <w:rPr>
          <w:rFonts w:cs="Calibri"/>
          <w:u w:val="single"/>
        </w:rPr>
        <w:t>Generic Officer Professional Military Education Reference Curriculum</w:t>
      </w:r>
      <w:r w:rsidRPr="00F01DF4">
        <w:rPr>
          <w:rFonts w:cs="Calibri"/>
        </w:rPr>
        <w:t>, (Kingston: Canadian Defence Academy, 21 September 2011).</w:t>
      </w:r>
      <w:proofErr w:type="gramEnd"/>
    </w:p>
    <w:p w14:paraId="66DEC5F6" w14:textId="77777777" w:rsidR="009F0877" w:rsidRPr="00F01DF4" w:rsidRDefault="009F0877" w:rsidP="00E8057E">
      <w:pPr>
        <w:pStyle w:val="FootnoteText"/>
        <w:spacing w:after="0" w:line="240" w:lineRule="auto"/>
        <w:contextualSpacing/>
        <w:jc w:val="both"/>
        <w:rPr>
          <w:rFonts w:cs="Calibri"/>
        </w:rPr>
      </w:pPr>
    </w:p>
  </w:footnote>
  <w:footnote w:id="46">
    <w:p w14:paraId="0B5D5998"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Major General P.J. </w:t>
      </w:r>
      <w:proofErr w:type="spellStart"/>
      <w:r w:rsidRPr="00F01DF4">
        <w:rPr>
          <w:rFonts w:cs="Calibri"/>
        </w:rPr>
        <w:t>Forgues</w:t>
      </w:r>
      <w:proofErr w:type="spellEnd"/>
      <w:r w:rsidRPr="00F01DF4">
        <w:rPr>
          <w:rFonts w:cs="Calibri"/>
        </w:rPr>
        <w:t xml:space="preserve">, “Foreword,” </w:t>
      </w:r>
      <w:r w:rsidRPr="00F01DF4">
        <w:rPr>
          <w:rFonts w:cs="Calibri"/>
          <w:u w:val="single"/>
        </w:rPr>
        <w:t>Generic Officer Professional Military Education Reference Curriculum</w:t>
      </w:r>
      <w:r w:rsidRPr="00F01DF4">
        <w:rPr>
          <w:rFonts w:cs="Calibri"/>
        </w:rPr>
        <w:t xml:space="preserve">, page 2, </w:t>
      </w:r>
      <w:r w:rsidRPr="00F01DF4">
        <w:rPr>
          <w:rFonts w:cs="Calibri"/>
          <w:i/>
        </w:rPr>
        <w:t>emphasis</w:t>
      </w:r>
      <w:r w:rsidRPr="00F01DF4">
        <w:rPr>
          <w:rFonts w:cs="Calibri"/>
        </w:rPr>
        <w:t xml:space="preserve"> added.</w:t>
      </w:r>
    </w:p>
    <w:p w14:paraId="1742CCED" w14:textId="77777777" w:rsidR="009F0877" w:rsidRPr="00F01DF4" w:rsidRDefault="009F0877" w:rsidP="00E8057E">
      <w:pPr>
        <w:pStyle w:val="FootnoteText"/>
        <w:spacing w:after="0" w:line="240" w:lineRule="auto"/>
        <w:contextualSpacing/>
        <w:jc w:val="both"/>
        <w:rPr>
          <w:rFonts w:cs="Calibri"/>
        </w:rPr>
      </w:pPr>
    </w:p>
  </w:footnote>
  <w:footnote w:id="47">
    <w:p w14:paraId="78BC561E" w14:textId="77777777" w:rsidR="009F0877" w:rsidRPr="00F01DF4" w:rsidRDefault="009F0877" w:rsidP="00E8057E">
      <w:pPr>
        <w:pStyle w:val="FootnoteText"/>
        <w:spacing w:after="0" w:line="240" w:lineRule="auto"/>
        <w:contextualSpacing/>
        <w:jc w:val="both"/>
        <w:rPr>
          <w:rStyle w:val="Hyperlink"/>
          <w:rFonts w:cs="Calibri"/>
        </w:rPr>
      </w:pPr>
      <w:r w:rsidRPr="00F01DF4">
        <w:rPr>
          <w:rStyle w:val="FootnoteReference"/>
          <w:rFonts w:cs="Calibri"/>
        </w:rPr>
        <w:footnoteRef/>
      </w:r>
      <w:r w:rsidRPr="00F01DF4">
        <w:rPr>
          <w:rFonts w:cs="Calibri"/>
        </w:rPr>
        <w:t xml:space="preserve"> “The Connected Forces Initiative,” available at </w:t>
      </w:r>
      <w:hyperlink r:id="rId11" w:history="1">
        <w:r w:rsidRPr="00F01DF4">
          <w:rPr>
            <w:rStyle w:val="Hyperlink"/>
            <w:rFonts w:cs="Calibri"/>
          </w:rPr>
          <w:t>http://www.nato.int/cps/en/SID-107090C3-88095132/natolive/topics_98527.htm</w:t>
        </w:r>
      </w:hyperlink>
    </w:p>
    <w:p w14:paraId="6C40BBAD" w14:textId="77777777" w:rsidR="009F0877" w:rsidRPr="00F01DF4" w:rsidRDefault="009F0877" w:rsidP="00E8057E">
      <w:pPr>
        <w:pStyle w:val="FootnoteText"/>
        <w:spacing w:after="0" w:line="240" w:lineRule="auto"/>
        <w:contextualSpacing/>
        <w:jc w:val="both"/>
        <w:rPr>
          <w:rFonts w:cs="Calibri"/>
        </w:rPr>
      </w:pPr>
    </w:p>
  </w:footnote>
  <w:footnote w:id="48">
    <w:p w14:paraId="0A6CC294"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Anders </w:t>
      </w:r>
      <w:proofErr w:type="spellStart"/>
      <w:r w:rsidRPr="00F01DF4">
        <w:rPr>
          <w:rFonts w:cs="Calibri"/>
        </w:rPr>
        <w:t>Fogh</w:t>
      </w:r>
      <w:proofErr w:type="spellEnd"/>
      <w:r w:rsidRPr="00F01DF4">
        <w:rPr>
          <w:rFonts w:cs="Calibri"/>
        </w:rPr>
        <w:t xml:space="preserve"> Rasmussen, “Remarks by NATO Secretary General Anders </w:t>
      </w:r>
      <w:proofErr w:type="spellStart"/>
      <w:r w:rsidRPr="00F01DF4">
        <w:rPr>
          <w:rFonts w:cs="Calibri"/>
        </w:rPr>
        <w:t>Fogh</w:t>
      </w:r>
      <w:proofErr w:type="spellEnd"/>
      <w:r w:rsidRPr="00F01DF4">
        <w:rPr>
          <w:rFonts w:cs="Calibri"/>
        </w:rPr>
        <w:t xml:space="preserve"> Rasmussen at the Munich Security Conference plenary session on ‘Building Euro-Atlantic Security’,” (4 February 2012), available at </w:t>
      </w:r>
      <w:hyperlink r:id="rId12" w:history="1">
        <w:r w:rsidRPr="00F01DF4">
          <w:rPr>
            <w:rStyle w:val="Hyperlink"/>
            <w:rFonts w:cs="Calibri"/>
          </w:rPr>
          <w:t>http://www.nato.int/cps/en/natolive/opinions_84197.htm</w:t>
        </w:r>
      </w:hyperlink>
      <w:r w:rsidRPr="00F01DF4">
        <w:rPr>
          <w:rFonts w:cs="Calibri"/>
        </w:rPr>
        <w:t>.</w:t>
      </w:r>
    </w:p>
    <w:p w14:paraId="09715C72" w14:textId="77777777" w:rsidR="009F0877" w:rsidRPr="00F01DF4" w:rsidRDefault="009F0877" w:rsidP="00E8057E">
      <w:pPr>
        <w:pStyle w:val="FootnoteText"/>
        <w:spacing w:after="0" w:line="240" w:lineRule="auto"/>
        <w:contextualSpacing/>
        <w:jc w:val="both"/>
        <w:rPr>
          <w:rFonts w:cs="Calibri"/>
        </w:rPr>
      </w:pPr>
    </w:p>
  </w:footnote>
  <w:footnote w:id="49">
    <w:p w14:paraId="5CF42920"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“NATO Secretary General Highlights Smart Defence as Answer to Austerity on Visit to Italy,” NATO Press Release (27 April 2012), available at </w:t>
      </w:r>
      <w:hyperlink r:id="rId13" w:history="1">
        <w:r w:rsidRPr="00F01DF4">
          <w:rPr>
            <w:rStyle w:val="Hyperlink"/>
            <w:rFonts w:cs="Calibri"/>
          </w:rPr>
          <w:t>http://www.nato.int/cps/en/natolive/news_86715.htm</w:t>
        </w:r>
      </w:hyperlink>
      <w:r w:rsidRPr="00F01DF4">
        <w:rPr>
          <w:rFonts w:cs="Calibri"/>
        </w:rPr>
        <w:t xml:space="preserve">; James Blitz, “NATO Chief Warns on Europe’s Gaps in Mali,” </w:t>
      </w:r>
      <w:r w:rsidRPr="00F01DF4">
        <w:rPr>
          <w:rFonts w:cs="Calibri"/>
          <w:i/>
        </w:rPr>
        <w:t>Financial Times</w:t>
      </w:r>
      <w:r w:rsidRPr="00F01DF4">
        <w:rPr>
          <w:rFonts w:cs="Calibri"/>
        </w:rPr>
        <w:t xml:space="preserve"> (3 February 2013). </w:t>
      </w:r>
    </w:p>
  </w:footnote>
  <w:footnote w:id="50">
    <w:p w14:paraId="1DDA94CE" w14:textId="77777777" w:rsidR="009F0877" w:rsidRPr="00F01DF4" w:rsidRDefault="009F0877" w:rsidP="00E8057E">
      <w:pPr>
        <w:pStyle w:val="FootnoteText"/>
        <w:spacing w:after="0" w:line="240" w:lineRule="auto"/>
        <w:contextualSpacing/>
        <w:jc w:val="both"/>
        <w:rPr>
          <w:rFonts w:cs="Calibri"/>
        </w:rPr>
      </w:pPr>
    </w:p>
    <w:p w14:paraId="658B770E" w14:textId="77777777" w:rsidR="009F0877" w:rsidRPr="00F01DF4" w:rsidRDefault="009F0877" w:rsidP="00E8057E">
      <w:pPr>
        <w:pStyle w:val="FootnoteText"/>
        <w:spacing w:after="0" w:line="240" w:lineRule="auto"/>
        <w:contextualSpacing/>
        <w:jc w:val="both"/>
        <w:rPr>
          <w:rFonts w:cs="Calibri"/>
        </w:rPr>
      </w:pPr>
      <w:r w:rsidRPr="00F01DF4">
        <w:rPr>
          <w:rStyle w:val="FootnoteReference"/>
          <w:rFonts w:cs="Calibri"/>
        </w:rPr>
        <w:footnoteRef/>
      </w:r>
      <w:r w:rsidRPr="00F01DF4">
        <w:rPr>
          <w:rFonts w:cs="Calibri"/>
        </w:rPr>
        <w:t xml:space="preserve"> </w:t>
      </w:r>
      <w:proofErr w:type="spellStart"/>
      <w:r w:rsidRPr="00F01DF4">
        <w:rPr>
          <w:rFonts w:cs="Calibri"/>
        </w:rPr>
        <w:t>Baltrusaitis</w:t>
      </w:r>
      <w:proofErr w:type="spellEnd"/>
      <w:r w:rsidRPr="00F01DF4">
        <w:rPr>
          <w:rFonts w:cs="Calibri"/>
        </w:rPr>
        <w:t xml:space="preserve"> and </w:t>
      </w:r>
      <w:proofErr w:type="spellStart"/>
      <w:r w:rsidRPr="00F01DF4">
        <w:rPr>
          <w:rFonts w:cs="Calibri"/>
        </w:rPr>
        <w:t>Duckenfeld</w:t>
      </w:r>
      <w:proofErr w:type="spellEnd"/>
      <w:r w:rsidRPr="00F01DF4">
        <w:rPr>
          <w:rFonts w:cs="Calibri"/>
        </w:rPr>
        <w:t>, “Operation Unified Protector.”</w:t>
      </w:r>
    </w:p>
    <w:p w14:paraId="32633438" w14:textId="77777777" w:rsidR="009F0877" w:rsidRPr="00F01DF4" w:rsidRDefault="009F0877" w:rsidP="00E8057E">
      <w:pPr>
        <w:pStyle w:val="FootnoteText"/>
        <w:spacing w:after="0" w:line="240" w:lineRule="auto"/>
        <w:contextualSpacing/>
        <w:jc w:val="both"/>
        <w:rPr>
          <w:rFonts w:cs="Calibri"/>
        </w:rPr>
      </w:pPr>
    </w:p>
  </w:footnote>
  <w:footnote w:id="51">
    <w:p w14:paraId="22D723E9" w14:textId="71176476" w:rsidR="009F0877" w:rsidRPr="00F01DF4" w:rsidRDefault="009F0877" w:rsidP="00E8057E">
      <w:pPr>
        <w:pStyle w:val="Heading1"/>
        <w:shd w:val="clear" w:color="auto" w:fill="FFFFFF"/>
        <w:spacing w:before="0" w:line="240" w:lineRule="auto"/>
        <w:contextualSpacing/>
        <w:jc w:val="both"/>
        <w:rPr>
          <w:rFonts w:ascii="Calibri" w:hAnsi="Calibri" w:cs="Calibri"/>
          <w:b w:val="0"/>
          <w:color w:val="auto"/>
          <w:sz w:val="20"/>
          <w:szCs w:val="20"/>
        </w:rPr>
      </w:pPr>
      <w:r w:rsidRPr="00F01DF4">
        <w:rPr>
          <w:rStyle w:val="FootnoteReference"/>
          <w:rFonts w:ascii="Calibri" w:hAnsi="Calibri" w:cs="Calibri"/>
          <w:b w:val="0"/>
          <w:color w:val="auto"/>
          <w:sz w:val="20"/>
          <w:szCs w:val="20"/>
        </w:rPr>
        <w:footnoteRef/>
      </w:r>
      <w:r>
        <w:rPr>
          <w:rFonts w:ascii="Calibri" w:hAnsi="Calibri" w:cs="Calibri"/>
          <w:b w:val="0"/>
          <w:color w:val="auto"/>
          <w:sz w:val="20"/>
          <w:szCs w:val="20"/>
        </w:rPr>
        <w:t xml:space="preserve"> Nathan Hodge, “C</w:t>
      </w:r>
      <w:r w:rsidRPr="00F01DF4">
        <w:rPr>
          <w:rFonts w:ascii="Calibri" w:hAnsi="Calibri" w:cs="Calibri"/>
          <w:b w:val="0"/>
          <w:color w:val="auto"/>
          <w:sz w:val="20"/>
          <w:szCs w:val="20"/>
        </w:rPr>
        <w:t>oordinate</w:t>
      </w:r>
      <w:r>
        <w:rPr>
          <w:rFonts w:ascii="Calibri" w:hAnsi="Calibri" w:cs="Calibri"/>
          <w:b w:val="0"/>
          <w:color w:val="auto"/>
          <w:sz w:val="20"/>
          <w:szCs w:val="20"/>
        </w:rPr>
        <w:t>d</w:t>
      </w:r>
      <w:r w:rsidRPr="00F01DF4">
        <w:rPr>
          <w:rFonts w:ascii="Calibri" w:hAnsi="Calibri" w:cs="Calibri"/>
          <w:b w:val="0"/>
          <w:color w:val="auto"/>
          <w:sz w:val="20"/>
          <w:szCs w:val="20"/>
        </w:rPr>
        <w:t xml:space="preserve"> Taliban Raid Penetrates Base,” </w:t>
      </w:r>
      <w:r w:rsidRPr="00F01DF4">
        <w:rPr>
          <w:rFonts w:ascii="Calibri" w:hAnsi="Calibri" w:cs="Calibri"/>
          <w:b w:val="0"/>
          <w:i/>
          <w:color w:val="auto"/>
          <w:sz w:val="20"/>
          <w:szCs w:val="20"/>
        </w:rPr>
        <w:t>The Wall Street Journal</w:t>
      </w:r>
      <w:r w:rsidRPr="00F01DF4">
        <w:rPr>
          <w:rFonts w:ascii="Calibri" w:hAnsi="Calibri" w:cs="Calibri"/>
          <w:b w:val="0"/>
          <w:color w:val="auto"/>
          <w:sz w:val="20"/>
          <w:szCs w:val="20"/>
        </w:rPr>
        <w:t xml:space="preserve"> (16 September 2012). The $200,000,000 loss of 6 Harrier jets could fund the Baltic Defence College, for instance, for over 30 years (see </w:t>
      </w:r>
      <w:proofErr w:type="spellStart"/>
      <w:r w:rsidRPr="00F01DF4">
        <w:rPr>
          <w:rFonts w:ascii="Calibri" w:hAnsi="Calibri" w:cs="Calibri"/>
          <w:b w:val="0"/>
          <w:color w:val="auto"/>
          <w:sz w:val="20"/>
          <w:szCs w:val="20"/>
        </w:rPr>
        <w:t>Corum</w:t>
      </w:r>
      <w:proofErr w:type="spellEnd"/>
      <w:r w:rsidRPr="00F01DF4">
        <w:rPr>
          <w:rFonts w:ascii="Calibri" w:hAnsi="Calibri" w:cs="Calibri"/>
          <w:b w:val="0"/>
          <w:color w:val="auto"/>
          <w:sz w:val="20"/>
          <w:szCs w:val="20"/>
        </w:rPr>
        <w:t>, “Some Key Principles,” page 26.</w:t>
      </w:r>
    </w:p>
    <w:p w14:paraId="328953C6" w14:textId="77777777" w:rsidR="009F0877" w:rsidRPr="00F01DF4" w:rsidRDefault="009F0877" w:rsidP="00E8057E">
      <w:pPr>
        <w:spacing w:after="0" w:line="240" w:lineRule="auto"/>
        <w:contextualSpacing/>
        <w:jc w:val="both"/>
        <w:rPr>
          <w:rFonts w:eastAsia="Times New Roman" w:cs="Calibri"/>
          <w:sz w:val="20"/>
          <w:szCs w:val="20"/>
        </w:rPr>
      </w:pPr>
    </w:p>
    <w:p w14:paraId="595F9A43" w14:textId="77777777" w:rsidR="009F0877" w:rsidRPr="00F01DF4" w:rsidRDefault="009F0877" w:rsidP="00E8057E">
      <w:pPr>
        <w:pStyle w:val="FootnoteText"/>
        <w:spacing w:after="0" w:line="240" w:lineRule="auto"/>
        <w:contextualSpacing/>
        <w:jc w:val="both"/>
        <w:rPr>
          <w:rFonts w:cs="Calibr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362C" w14:textId="5C5B5EA8" w:rsidR="009F0877" w:rsidRDefault="009F0877" w:rsidP="00C95B5D">
    <w:pPr>
      <w:pStyle w:val="Header"/>
      <w:tabs>
        <w:tab w:val="clear" w:pos="4513"/>
      </w:tabs>
    </w:pPr>
    <w:r>
      <w:t>Draft of 28 July 2013</w:t>
    </w:r>
    <w:r>
      <w:tab/>
    </w:r>
    <w:r w:rsidR="00E20F7A">
      <w:t xml:space="preserve">Gary Schaub, Jr. and </w:t>
    </w:r>
    <w:proofErr w:type="spellStart"/>
    <w:r w:rsidR="00E20F7A">
      <w:t>Henrik</w:t>
    </w:r>
    <w:proofErr w:type="spellEnd"/>
    <w:r w:rsidR="00E20F7A">
      <w:t xml:space="preserve"> Ø. </w:t>
    </w:r>
    <w:proofErr w:type="spellStart"/>
    <w:r w:rsidR="00E20F7A">
      <w:t>Breitenbach</w:t>
    </w:r>
    <w:proofErr w:type="spellEnd"/>
  </w:p>
  <w:p w14:paraId="6B2B1451" w14:textId="77777777" w:rsidR="009F0877" w:rsidRDefault="009F0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85D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DE26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7024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52B2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8EE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9EC2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043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AD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9CB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104792"/>
    <w:lvl w:ilvl="0">
      <w:start w:val="1"/>
      <w:numFmt w:val="bullet"/>
      <w:lvlText w:val=""/>
      <w:lvlJc w:val="left"/>
      <w:pPr>
        <w:tabs>
          <w:tab w:val="num" w:pos="360"/>
        </w:tabs>
        <w:ind w:left="360" w:hanging="360"/>
      </w:pPr>
      <w:rPr>
        <w:rFonts w:ascii="Symbol" w:hAnsi="Symbol" w:hint="default"/>
      </w:rPr>
    </w:lvl>
  </w:abstractNum>
  <w:abstractNum w:abstractNumId="10">
    <w:nsid w:val="011243B0"/>
    <w:multiLevelType w:val="hybridMultilevel"/>
    <w:tmpl w:val="D40EC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592908"/>
    <w:multiLevelType w:val="hybridMultilevel"/>
    <w:tmpl w:val="B128C1D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2">
    <w:nsid w:val="0F55655B"/>
    <w:multiLevelType w:val="hybridMultilevel"/>
    <w:tmpl w:val="F8321BA2"/>
    <w:lvl w:ilvl="0" w:tplc="1C846A56">
      <w:numFmt w:val="bullet"/>
      <w:lvlText w:val=""/>
      <w:lvlJc w:val="left"/>
      <w:pPr>
        <w:tabs>
          <w:tab w:val="num" w:pos="1080"/>
        </w:tabs>
        <w:ind w:left="1080" w:hanging="360"/>
      </w:pPr>
      <w:rPr>
        <w:rFonts w:ascii="Symbol" w:eastAsia="Times New Roman"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3">
    <w:nsid w:val="1DBA22A1"/>
    <w:multiLevelType w:val="hybridMultilevel"/>
    <w:tmpl w:val="FB2A2B06"/>
    <w:lvl w:ilvl="0" w:tplc="38125478">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FAC4886"/>
    <w:multiLevelType w:val="hybridMultilevel"/>
    <w:tmpl w:val="28D2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0B0A"/>
    <w:multiLevelType w:val="hybridMultilevel"/>
    <w:tmpl w:val="0F22033C"/>
    <w:lvl w:ilvl="0" w:tplc="33C0A192">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95C77B2"/>
    <w:multiLevelType w:val="hybridMultilevel"/>
    <w:tmpl w:val="D6C6028E"/>
    <w:lvl w:ilvl="0" w:tplc="04884386">
      <w:numFmt w:val="bullet"/>
      <w:lvlText w:val=""/>
      <w:lvlJc w:val="left"/>
      <w:pPr>
        <w:ind w:left="720" w:hanging="360"/>
      </w:pPr>
      <w:rPr>
        <w:rFonts w:ascii="Symbol" w:eastAsia="Times New Roman"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F870EE3"/>
    <w:multiLevelType w:val="hybridMultilevel"/>
    <w:tmpl w:val="9C48D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196795A"/>
    <w:multiLevelType w:val="hybridMultilevel"/>
    <w:tmpl w:val="5AC82A7A"/>
    <w:lvl w:ilvl="0" w:tplc="D3E45E68">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F556F9E"/>
    <w:multiLevelType w:val="hybridMultilevel"/>
    <w:tmpl w:val="7162495A"/>
    <w:lvl w:ilvl="0" w:tplc="8A184CEC">
      <w:numFmt w:val="bullet"/>
      <w:lvlText w:val=""/>
      <w:lvlJc w:val="left"/>
      <w:pPr>
        <w:ind w:left="720" w:hanging="360"/>
      </w:pPr>
      <w:rPr>
        <w:rFonts w:ascii="Symbol" w:eastAsia="Times New Roman"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D2C4989"/>
    <w:multiLevelType w:val="hybridMultilevel"/>
    <w:tmpl w:val="A0CAE4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F0837F4"/>
    <w:multiLevelType w:val="hybridMultilevel"/>
    <w:tmpl w:val="7CD0A78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587A06CB"/>
    <w:multiLevelType w:val="hybridMultilevel"/>
    <w:tmpl w:val="FDB25D92"/>
    <w:lvl w:ilvl="0" w:tplc="7C787E04">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614554BC"/>
    <w:multiLevelType w:val="hybridMultilevel"/>
    <w:tmpl w:val="8C840810"/>
    <w:lvl w:ilvl="0" w:tplc="C382E224">
      <w:start w:val="1"/>
      <w:numFmt w:val="decimal"/>
      <w:lvlText w:val="%1."/>
      <w:lvlJc w:val="left"/>
      <w:pPr>
        <w:ind w:left="720" w:hanging="360"/>
      </w:pPr>
      <w:rPr>
        <w:rFonts w:asciiTheme="majorHAnsi" w:eastAsia="Times New Roman" w:hAnsiTheme="majorHAns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F2F1D77"/>
    <w:multiLevelType w:val="hybridMultilevel"/>
    <w:tmpl w:val="F676C466"/>
    <w:lvl w:ilvl="0" w:tplc="D168FA1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1730AE1"/>
    <w:multiLevelType w:val="hybridMultilevel"/>
    <w:tmpl w:val="298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B5C1D"/>
    <w:multiLevelType w:val="hybridMultilevel"/>
    <w:tmpl w:val="52DE6522"/>
    <w:lvl w:ilvl="0" w:tplc="FF2CC5C2">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6735AB2"/>
    <w:multiLevelType w:val="hybridMultilevel"/>
    <w:tmpl w:val="7CD0A78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78216786"/>
    <w:multiLevelType w:val="hybridMultilevel"/>
    <w:tmpl w:val="94983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F077BD0"/>
    <w:multiLevelType w:val="hybridMultilevel"/>
    <w:tmpl w:val="97F4FF0C"/>
    <w:lvl w:ilvl="0" w:tplc="FFFFFFFF">
      <w:start w:val="1"/>
      <w:numFmt w:val="bullet"/>
      <w:lvlText w:val=""/>
      <w:lvlJc w:val="left"/>
      <w:pPr>
        <w:tabs>
          <w:tab w:val="num" w:pos="720"/>
        </w:tabs>
        <w:ind w:left="720"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24"/>
  </w:num>
  <w:num w:numId="4">
    <w:abstractNumId w:val="26"/>
  </w:num>
  <w:num w:numId="5">
    <w:abstractNumId w:val="16"/>
  </w:num>
  <w:num w:numId="6">
    <w:abstractNumId w:val="27"/>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2"/>
  </w:num>
  <w:num w:numId="21">
    <w:abstractNumId w:val="13"/>
  </w:num>
  <w:num w:numId="22">
    <w:abstractNumId w:val="12"/>
  </w:num>
  <w:num w:numId="23">
    <w:abstractNumId w:val="11"/>
  </w:num>
  <w:num w:numId="24">
    <w:abstractNumId w:val="29"/>
  </w:num>
  <w:num w:numId="25">
    <w:abstractNumId w:val="25"/>
  </w:num>
  <w:num w:numId="26">
    <w:abstractNumId w:val="17"/>
  </w:num>
  <w:num w:numId="27">
    <w:abstractNumId w:val="14"/>
  </w:num>
  <w:num w:numId="28">
    <w:abstractNumId w:val="2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6"/>
    <w:rsid w:val="00000DB4"/>
    <w:rsid w:val="00003524"/>
    <w:rsid w:val="0000409A"/>
    <w:rsid w:val="000040E8"/>
    <w:rsid w:val="000042C0"/>
    <w:rsid w:val="000124E4"/>
    <w:rsid w:val="0001463F"/>
    <w:rsid w:val="000228D8"/>
    <w:rsid w:val="0002475B"/>
    <w:rsid w:val="00032F99"/>
    <w:rsid w:val="00036220"/>
    <w:rsid w:val="00042C3A"/>
    <w:rsid w:val="00043C52"/>
    <w:rsid w:val="00043D34"/>
    <w:rsid w:val="00043F4E"/>
    <w:rsid w:val="000503FF"/>
    <w:rsid w:val="00050AC9"/>
    <w:rsid w:val="000514F8"/>
    <w:rsid w:val="00056747"/>
    <w:rsid w:val="00060D34"/>
    <w:rsid w:val="00062161"/>
    <w:rsid w:val="00066C28"/>
    <w:rsid w:val="0006756E"/>
    <w:rsid w:val="00070338"/>
    <w:rsid w:val="00072B77"/>
    <w:rsid w:val="00073131"/>
    <w:rsid w:val="00081CF0"/>
    <w:rsid w:val="0008358D"/>
    <w:rsid w:val="00084AD9"/>
    <w:rsid w:val="00084F2D"/>
    <w:rsid w:val="000866D3"/>
    <w:rsid w:val="000A238D"/>
    <w:rsid w:val="000A3093"/>
    <w:rsid w:val="000A375E"/>
    <w:rsid w:val="000A6442"/>
    <w:rsid w:val="000B0507"/>
    <w:rsid w:val="000B2461"/>
    <w:rsid w:val="000B363C"/>
    <w:rsid w:val="000B4E58"/>
    <w:rsid w:val="000B665A"/>
    <w:rsid w:val="000C36D1"/>
    <w:rsid w:val="000C379E"/>
    <w:rsid w:val="000C40D1"/>
    <w:rsid w:val="000C5A11"/>
    <w:rsid w:val="000D1736"/>
    <w:rsid w:val="000D431C"/>
    <w:rsid w:val="000E0300"/>
    <w:rsid w:val="000E27DA"/>
    <w:rsid w:val="000E5310"/>
    <w:rsid w:val="000F176A"/>
    <w:rsid w:val="00100FF2"/>
    <w:rsid w:val="00106D04"/>
    <w:rsid w:val="00110E9B"/>
    <w:rsid w:val="00113072"/>
    <w:rsid w:val="0011390D"/>
    <w:rsid w:val="0011580B"/>
    <w:rsid w:val="00116EAF"/>
    <w:rsid w:val="001172E3"/>
    <w:rsid w:val="00125971"/>
    <w:rsid w:val="00125A9F"/>
    <w:rsid w:val="001328F8"/>
    <w:rsid w:val="00133F71"/>
    <w:rsid w:val="00137BB4"/>
    <w:rsid w:val="00142094"/>
    <w:rsid w:val="00142120"/>
    <w:rsid w:val="00145EEF"/>
    <w:rsid w:val="00146E22"/>
    <w:rsid w:val="001500C7"/>
    <w:rsid w:val="0015051D"/>
    <w:rsid w:val="00153550"/>
    <w:rsid w:val="001536D8"/>
    <w:rsid w:val="00157525"/>
    <w:rsid w:val="00160AAD"/>
    <w:rsid w:val="001614E5"/>
    <w:rsid w:val="001640DF"/>
    <w:rsid w:val="00164B4F"/>
    <w:rsid w:val="00165614"/>
    <w:rsid w:val="001669D8"/>
    <w:rsid w:val="00167D9C"/>
    <w:rsid w:val="0017085E"/>
    <w:rsid w:val="0017356F"/>
    <w:rsid w:val="001757A4"/>
    <w:rsid w:val="0018271C"/>
    <w:rsid w:val="0018430C"/>
    <w:rsid w:val="0018521B"/>
    <w:rsid w:val="00186A90"/>
    <w:rsid w:val="00187E16"/>
    <w:rsid w:val="001930F0"/>
    <w:rsid w:val="00193EE5"/>
    <w:rsid w:val="0019769E"/>
    <w:rsid w:val="001A0CB9"/>
    <w:rsid w:val="001A1C87"/>
    <w:rsid w:val="001A28B9"/>
    <w:rsid w:val="001A43F0"/>
    <w:rsid w:val="001A4447"/>
    <w:rsid w:val="001A4581"/>
    <w:rsid w:val="001C1A53"/>
    <w:rsid w:val="001C3145"/>
    <w:rsid w:val="001C5657"/>
    <w:rsid w:val="001C6A3E"/>
    <w:rsid w:val="001D2E8A"/>
    <w:rsid w:val="001D302B"/>
    <w:rsid w:val="001D30CF"/>
    <w:rsid w:val="001D710C"/>
    <w:rsid w:val="001E1D3E"/>
    <w:rsid w:val="001E5F58"/>
    <w:rsid w:val="001F001B"/>
    <w:rsid w:val="001F17F1"/>
    <w:rsid w:val="001F29C4"/>
    <w:rsid w:val="001F3028"/>
    <w:rsid w:val="001F4ABA"/>
    <w:rsid w:val="001F71CF"/>
    <w:rsid w:val="00200BC9"/>
    <w:rsid w:val="002020D2"/>
    <w:rsid w:val="0020306E"/>
    <w:rsid w:val="00204E0B"/>
    <w:rsid w:val="00205B14"/>
    <w:rsid w:val="00206080"/>
    <w:rsid w:val="00213B95"/>
    <w:rsid w:val="00216ABD"/>
    <w:rsid w:val="00222E68"/>
    <w:rsid w:val="00223054"/>
    <w:rsid w:val="002243C1"/>
    <w:rsid w:val="00224679"/>
    <w:rsid w:val="002316D2"/>
    <w:rsid w:val="00233242"/>
    <w:rsid w:val="0023365E"/>
    <w:rsid w:val="00235AB5"/>
    <w:rsid w:val="0023645D"/>
    <w:rsid w:val="002400FA"/>
    <w:rsid w:val="00240E9C"/>
    <w:rsid w:val="002442F4"/>
    <w:rsid w:val="00245A7C"/>
    <w:rsid w:val="00246F5E"/>
    <w:rsid w:val="002528EE"/>
    <w:rsid w:val="002546D5"/>
    <w:rsid w:val="00254A81"/>
    <w:rsid w:val="00261978"/>
    <w:rsid w:val="00261E79"/>
    <w:rsid w:val="00263C29"/>
    <w:rsid w:val="00264D3A"/>
    <w:rsid w:val="00266B3F"/>
    <w:rsid w:val="00273036"/>
    <w:rsid w:val="0027384F"/>
    <w:rsid w:val="00276D81"/>
    <w:rsid w:val="00281436"/>
    <w:rsid w:val="00282A61"/>
    <w:rsid w:val="00290686"/>
    <w:rsid w:val="00291B49"/>
    <w:rsid w:val="002A32DE"/>
    <w:rsid w:val="002A7AAC"/>
    <w:rsid w:val="002C2D3D"/>
    <w:rsid w:val="002C4415"/>
    <w:rsid w:val="002C4C6A"/>
    <w:rsid w:val="002C71E1"/>
    <w:rsid w:val="002D0C9B"/>
    <w:rsid w:val="002D19CC"/>
    <w:rsid w:val="002D33CE"/>
    <w:rsid w:val="002D4003"/>
    <w:rsid w:val="002D70F4"/>
    <w:rsid w:val="002E017C"/>
    <w:rsid w:val="002E04C8"/>
    <w:rsid w:val="002E3212"/>
    <w:rsid w:val="002E42B9"/>
    <w:rsid w:val="002E4985"/>
    <w:rsid w:val="002E73D5"/>
    <w:rsid w:val="002F1635"/>
    <w:rsid w:val="0030099A"/>
    <w:rsid w:val="00301B78"/>
    <w:rsid w:val="00312CDD"/>
    <w:rsid w:val="00313208"/>
    <w:rsid w:val="00317B6E"/>
    <w:rsid w:val="00322123"/>
    <w:rsid w:val="00322F81"/>
    <w:rsid w:val="0032321F"/>
    <w:rsid w:val="003372E4"/>
    <w:rsid w:val="003406C9"/>
    <w:rsid w:val="00342044"/>
    <w:rsid w:val="00342CD1"/>
    <w:rsid w:val="00342F86"/>
    <w:rsid w:val="003439C5"/>
    <w:rsid w:val="00345D80"/>
    <w:rsid w:val="00346F8F"/>
    <w:rsid w:val="00350326"/>
    <w:rsid w:val="00352BFD"/>
    <w:rsid w:val="00353584"/>
    <w:rsid w:val="003559D2"/>
    <w:rsid w:val="003577BC"/>
    <w:rsid w:val="0036622F"/>
    <w:rsid w:val="0037074D"/>
    <w:rsid w:val="00375BD1"/>
    <w:rsid w:val="00376429"/>
    <w:rsid w:val="00381463"/>
    <w:rsid w:val="003919FF"/>
    <w:rsid w:val="00391B88"/>
    <w:rsid w:val="00395193"/>
    <w:rsid w:val="00397AE9"/>
    <w:rsid w:val="003A583B"/>
    <w:rsid w:val="003A6177"/>
    <w:rsid w:val="003B74D9"/>
    <w:rsid w:val="003C1EB3"/>
    <w:rsid w:val="003D1E04"/>
    <w:rsid w:val="003D356B"/>
    <w:rsid w:val="003D44D2"/>
    <w:rsid w:val="003E3221"/>
    <w:rsid w:val="003E7455"/>
    <w:rsid w:val="003F03DB"/>
    <w:rsid w:val="003F0571"/>
    <w:rsid w:val="003F1015"/>
    <w:rsid w:val="0040037A"/>
    <w:rsid w:val="004019A4"/>
    <w:rsid w:val="00403CC3"/>
    <w:rsid w:val="00410BBD"/>
    <w:rsid w:val="00412D94"/>
    <w:rsid w:val="00415FAE"/>
    <w:rsid w:val="00417E41"/>
    <w:rsid w:val="00422606"/>
    <w:rsid w:val="00427855"/>
    <w:rsid w:val="004307B1"/>
    <w:rsid w:val="004323C4"/>
    <w:rsid w:val="00432B4B"/>
    <w:rsid w:val="00436745"/>
    <w:rsid w:val="004446C7"/>
    <w:rsid w:val="004506ED"/>
    <w:rsid w:val="00454172"/>
    <w:rsid w:val="00455932"/>
    <w:rsid w:val="00455936"/>
    <w:rsid w:val="00455CF3"/>
    <w:rsid w:val="0045605A"/>
    <w:rsid w:val="00472396"/>
    <w:rsid w:val="00472C0B"/>
    <w:rsid w:val="00473842"/>
    <w:rsid w:val="00474082"/>
    <w:rsid w:val="00482BE5"/>
    <w:rsid w:val="00485826"/>
    <w:rsid w:val="00486641"/>
    <w:rsid w:val="00487CCB"/>
    <w:rsid w:val="004916BE"/>
    <w:rsid w:val="004972CE"/>
    <w:rsid w:val="004A079D"/>
    <w:rsid w:val="004A1001"/>
    <w:rsid w:val="004A18C7"/>
    <w:rsid w:val="004A2A39"/>
    <w:rsid w:val="004A3D4D"/>
    <w:rsid w:val="004B55C8"/>
    <w:rsid w:val="004C5FAC"/>
    <w:rsid w:val="004C6968"/>
    <w:rsid w:val="004C6A81"/>
    <w:rsid w:val="004D1B67"/>
    <w:rsid w:val="004D4FAF"/>
    <w:rsid w:val="004E089D"/>
    <w:rsid w:val="004E54EA"/>
    <w:rsid w:val="004F0A5A"/>
    <w:rsid w:val="004F4C8B"/>
    <w:rsid w:val="004F5F07"/>
    <w:rsid w:val="004F6C15"/>
    <w:rsid w:val="0050316D"/>
    <w:rsid w:val="00504B82"/>
    <w:rsid w:val="00506C42"/>
    <w:rsid w:val="00507086"/>
    <w:rsid w:val="00510533"/>
    <w:rsid w:val="005111BB"/>
    <w:rsid w:val="00522FE6"/>
    <w:rsid w:val="00530522"/>
    <w:rsid w:val="005318EA"/>
    <w:rsid w:val="00532A5E"/>
    <w:rsid w:val="0053378C"/>
    <w:rsid w:val="00534DD7"/>
    <w:rsid w:val="00537D99"/>
    <w:rsid w:val="00543244"/>
    <w:rsid w:val="0054561F"/>
    <w:rsid w:val="00546227"/>
    <w:rsid w:val="005475A5"/>
    <w:rsid w:val="00550B57"/>
    <w:rsid w:val="00550D29"/>
    <w:rsid w:val="00560F72"/>
    <w:rsid w:val="005618A5"/>
    <w:rsid w:val="005625B0"/>
    <w:rsid w:val="00563793"/>
    <w:rsid w:val="00567DC6"/>
    <w:rsid w:val="00567EED"/>
    <w:rsid w:val="005736ED"/>
    <w:rsid w:val="0057512E"/>
    <w:rsid w:val="00580D8C"/>
    <w:rsid w:val="00584931"/>
    <w:rsid w:val="00594BE0"/>
    <w:rsid w:val="00597AB3"/>
    <w:rsid w:val="005A182A"/>
    <w:rsid w:val="005A2530"/>
    <w:rsid w:val="005A285D"/>
    <w:rsid w:val="005A6230"/>
    <w:rsid w:val="005B1DD1"/>
    <w:rsid w:val="005B3F47"/>
    <w:rsid w:val="005B453E"/>
    <w:rsid w:val="005B6C97"/>
    <w:rsid w:val="005B6D6F"/>
    <w:rsid w:val="005C0817"/>
    <w:rsid w:val="005C161C"/>
    <w:rsid w:val="005D46C5"/>
    <w:rsid w:val="005D6112"/>
    <w:rsid w:val="005D72D2"/>
    <w:rsid w:val="005E0AA5"/>
    <w:rsid w:val="005E5320"/>
    <w:rsid w:val="005E7F82"/>
    <w:rsid w:val="005F109D"/>
    <w:rsid w:val="005F6C19"/>
    <w:rsid w:val="00600A57"/>
    <w:rsid w:val="00602556"/>
    <w:rsid w:val="00617D2A"/>
    <w:rsid w:val="00625F1F"/>
    <w:rsid w:val="006260EC"/>
    <w:rsid w:val="006271D8"/>
    <w:rsid w:val="00630E26"/>
    <w:rsid w:val="00634120"/>
    <w:rsid w:val="006409AE"/>
    <w:rsid w:val="00641A29"/>
    <w:rsid w:val="006467C1"/>
    <w:rsid w:val="006476B2"/>
    <w:rsid w:val="0065011D"/>
    <w:rsid w:val="006542F0"/>
    <w:rsid w:val="00665172"/>
    <w:rsid w:val="006755A6"/>
    <w:rsid w:val="006761B6"/>
    <w:rsid w:val="006815E7"/>
    <w:rsid w:val="00684D1F"/>
    <w:rsid w:val="00686D58"/>
    <w:rsid w:val="006971F0"/>
    <w:rsid w:val="00697D73"/>
    <w:rsid w:val="006A46FD"/>
    <w:rsid w:val="006B2C13"/>
    <w:rsid w:val="006B3C31"/>
    <w:rsid w:val="006B3E31"/>
    <w:rsid w:val="006B4845"/>
    <w:rsid w:val="006B4871"/>
    <w:rsid w:val="006C0C64"/>
    <w:rsid w:val="006C162A"/>
    <w:rsid w:val="006C572A"/>
    <w:rsid w:val="006D1FDD"/>
    <w:rsid w:val="006D243E"/>
    <w:rsid w:val="006D4CFC"/>
    <w:rsid w:val="006D721B"/>
    <w:rsid w:val="006E03D9"/>
    <w:rsid w:val="006E6583"/>
    <w:rsid w:val="006F2855"/>
    <w:rsid w:val="006F4779"/>
    <w:rsid w:val="007023AB"/>
    <w:rsid w:val="007024E3"/>
    <w:rsid w:val="007030E1"/>
    <w:rsid w:val="00706849"/>
    <w:rsid w:val="00711BE0"/>
    <w:rsid w:val="00713121"/>
    <w:rsid w:val="00715576"/>
    <w:rsid w:val="0071684A"/>
    <w:rsid w:val="0072435D"/>
    <w:rsid w:val="007255B8"/>
    <w:rsid w:val="0073165F"/>
    <w:rsid w:val="00732E92"/>
    <w:rsid w:val="00733012"/>
    <w:rsid w:val="0073790C"/>
    <w:rsid w:val="00742A49"/>
    <w:rsid w:val="00742E77"/>
    <w:rsid w:val="00745DEB"/>
    <w:rsid w:val="00750228"/>
    <w:rsid w:val="007508AF"/>
    <w:rsid w:val="007508F7"/>
    <w:rsid w:val="00750C68"/>
    <w:rsid w:val="00752CAE"/>
    <w:rsid w:val="00754882"/>
    <w:rsid w:val="00755D5F"/>
    <w:rsid w:val="007643E1"/>
    <w:rsid w:val="00764D0B"/>
    <w:rsid w:val="00765D0F"/>
    <w:rsid w:val="00765DEA"/>
    <w:rsid w:val="007663D3"/>
    <w:rsid w:val="0076650D"/>
    <w:rsid w:val="00774A82"/>
    <w:rsid w:val="007810C8"/>
    <w:rsid w:val="00784B81"/>
    <w:rsid w:val="00785E71"/>
    <w:rsid w:val="0079015A"/>
    <w:rsid w:val="0079525B"/>
    <w:rsid w:val="00796BE5"/>
    <w:rsid w:val="007A32EE"/>
    <w:rsid w:val="007A561A"/>
    <w:rsid w:val="007A6020"/>
    <w:rsid w:val="007A665B"/>
    <w:rsid w:val="007A686D"/>
    <w:rsid w:val="007B0F02"/>
    <w:rsid w:val="007B2363"/>
    <w:rsid w:val="007B3588"/>
    <w:rsid w:val="007C136E"/>
    <w:rsid w:val="007C596F"/>
    <w:rsid w:val="007C73D3"/>
    <w:rsid w:val="007D1965"/>
    <w:rsid w:val="007D43AD"/>
    <w:rsid w:val="007D5572"/>
    <w:rsid w:val="007D74BF"/>
    <w:rsid w:val="007E7729"/>
    <w:rsid w:val="007F22FF"/>
    <w:rsid w:val="007F3BBF"/>
    <w:rsid w:val="007F61C3"/>
    <w:rsid w:val="007F7171"/>
    <w:rsid w:val="00801E3F"/>
    <w:rsid w:val="00802F3F"/>
    <w:rsid w:val="00805403"/>
    <w:rsid w:val="00806C47"/>
    <w:rsid w:val="0081429F"/>
    <w:rsid w:val="0081650B"/>
    <w:rsid w:val="00820364"/>
    <w:rsid w:val="00827708"/>
    <w:rsid w:val="0083179B"/>
    <w:rsid w:val="00832048"/>
    <w:rsid w:val="00833424"/>
    <w:rsid w:val="00836C37"/>
    <w:rsid w:val="00837554"/>
    <w:rsid w:val="00841B1C"/>
    <w:rsid w:val="00843081"/>
    <w:rsid w:val="008433F2"/>
    <w:rsid w:val="00844781"/>
    <w:rsid w:val="008460FA"/>
    <w:rsid w:val="008466E4"/>
    <w:rsid w:val="008470DE"/>
    <w:rsid w:val="00851E84"/>
    <w:rsid w:val="008536B8"/>
    <w:rsid w:val="00856D74"/>
    <w:rsid w:val="00857638"/>
    <w:rsid w:val="00861B83"/>
    <w:rsid w:val="008624DF"/>
    <w:rsid w:val="00865081"/>
    <w:rsid w:val="008671D7"/>
    <w:rsid w:val="00870B6A"/>
    <w:rsid w:val="00871ABC"/>
    <w:rsid w:val="008772FA"/>
    <w:rsid w:val="00877A65"/>
    <w:rsid w:val="008816E5"/>
    <w:rsid w:val="00881F37"/>
    <w:rsid w:val="008822E4"/>
    <w:rsid w:val="008825E3"/>
    <w:rsid w:val="00890082"/>
    <w:rsid w:val="00891141"/>
    <w:rsid w:val="00891183"/>
    <w:rsid w:val="00891274"/>
    <w:rsid w:val="0089187C"/>
    <w:rsid w:val="00891D1C"/>
    <w:rsid w:val="00897067"/>
    <w:rsid w:val="008A0312"/>
    <w:rsid w:val="008A1334"/>
    <w:rsid w:val="008A3133"/>
    <w:rsid w:val="008A3CCF"/>
    <w:rsid w:val="008B1DC2"/>
    <w:rsid w:val="008B2D96"/>
    <w:rsid w:val="008B7EF3"/>
    <w:rsid w:val="008C714E"/>
    <w:rsid w:val="008D0332"/>
    <w:rsid w:val="008D48C5"/>
    <w:rsid w:val="008D4F8E"/>
    <w:rsid w:val="008E138F"/>
    <w:rsid w:val="008E1C0D"/>
    <w:rsid w:val="008E3CBD"/>
    <w:rsid w:val="008E626B"/>
    <w:rsid w:val="008E6A5D"/>
    <w:rsid w:val="008E6EB6"/>
    <w:rsid w:val="008E722B"/>
    <w:rsid w:val="0090003D"/>
    <w:rsid w:val="0090061B"/>
    <w:rsid w:val="0090151B"/>
    <w:rsid w:val="0090442A"/>
    <w:rsid w:val="00906EDA"/>
    <w:rsid w:val="009103F2"/>
    <w:rsid w:val="00910D73"/>
    <w:rsid w:val="00914EBF"/>
    <w:rsid w:val="00915C8F"/>
    <w:rsid w:val="0092074B"/>
    <w:rsid w:val="00922222"/>
    <w:rsid w:val="00923887"/>
    <w:rsid w:val="00926A1C"/>
    <w:rsid w:val="00932216"/>
    <w:rsid w:val="0093607E"/>
    <w:rsid w:val="00936B38"/>
    <w:rsid w:val="00937E2E"/>
    <w:rsid w:val="009459B4"/>
    <w:rsid w:val="00954625"/>
    <w:rsid w:val="00955FFC"/>
    <w:rsid w:val="0095742C"/>
    <w:rsid w:val="00957ECA"/>
    <w:rsid w:val="0096718C"/>
    <w:rsid w:val="009677D7"/>
    <w:rsid w:val="00974C7B"/>
    <w:rsid w:val="00980F90"/>
    <w:rsid w:val="00981B2D"/>
    <w:rsid w:val="0098324D"/>
    <w:rsid w:val="00983463"/>
    <w:rsid w:val="00985CDE"/>
    <w:rsid w:val="00987FEA"/>
    <w:rsid w:val="009932FF"/>
    <w:rsid w:val="0099491F"/>
    <w:rsid w:val="0099625A"/>
    <w:rsid w:val="009A7F68"/>
    <w:rsid w:val="009B1FCE"/>
    <w:rsid w:val="009B21AE"/>
    <w:rsid w:val="009B2EFE"/>
    <w:rsid w:val="009C5288"/>
    <w:rsid w:val="009C59BA"/>
    <w:rsid w:val="009C6D2C"/>
    <w:rsid w:val="009D235C"/>
    <w:rsid w:val="009E31F9"/>
    <w:rsid w:val="009F0877"/>
    <w:rsid w:val="009F1223"/>
    <w:rsid w:val="009F12D9"/>
    <w:rsid w:val="00A01ACB"/>
    <w:rsid w:val="00A15ED8"/>
    <w:rsid w:val="00A15FA1"/>
    <w:rsid w:val="00A16FB6"/>
    <w:rsid w:val="00A20353"/>
    <w:rsid w:val="00A20429"/>
    <w:rsid w:val="00A21F15"/>
    <w:rsid w:val="00A240B6"/>
    <w:rsid w:val="00A26412"/>
    <w:rsid w:val="00A3003F"/>
    <w:rsid w:val="00A337A9"/>
    <w:rsid w:val="00A34D8F"/>
    <w:rsid w:val="00A357BA"/>
    <w:rsid w:val="00A41319"/>
    <w:rsid w:val="00A42319"/>
    <w:rsid w:val="00A426D9"/>
    <w:rsid w:val="00A42BC8"/>
    <w:rsid w:val="00A46D54"/>
    <w:rsid w:val="00A475EF"/>
    <w:rsid w:val="00A52CC4"/>
    <w:rsid w:val="00A5780D"/>
    <w:rsid w:val="00A61DE5"/>
    <w:rsid w:val="00A714CF"/>
    <w:rsid w:val="00A71C9D"/>
    <w:rsid w:val="00A75F18"/>
    <w:rsid w:val="00A7798B"/>
    <w:rsid w:val="00A87DFE"/>
    <w:rsid w:val="00A91671"/>
    <w:rsid w:val="00A93ED5"/>
    <w:rsid w:val="00AA2CBC"/>
    <w:rsid w:val="00AA6EA7"/>
    <w:rsid w:val="00AA75C7"/>
    <w:rsid w:val="00AA76C8"/>
    <w:rsid w:val="00AB2E1C"/>
    <w:rsid w:val="00AB3E0E"/>
    <w:rsid w:val="00AB734C"/>
    <w:rsid w:val="00AB7B49"/>
    <w:rsid w:val="00AC0D4C"/>
    <w:rsid w:val="00AC2A3D"/>
    <w:rsid w:val="00AC3340"/>
    <w:rsid w:val="00AC33BC"/>
    <w:rsid w:val="00AC5ECA"/>
    <w:rsid w:val="00AC6690"/>
    <w:rsid w:val="00AC73A9"/>
    <w:rsid w:val="00AD040C"/>
    <w:rsid w:val="00AD04F6"/>
    <w:rsid w:val="00AD321D"/>
    <w:rsid w:val="00AD4803"/>
    <w:rsid w:val="00AE2B98"/>
    <w:rsid w:val="00AE5AF1"/>
    <w:rsid w:val="00AF293D"/>
    <w:rsid w:val="00AF4846"/>
    <w:rsid w:val="00AF516D"/>
    <w:rsid w:val="00AF5724"/>
    <w:rsid w:val="00B01365"/>
    <w:rsid w:val="00B0308B"/>
    <w:rsid w:val="00B12095"/>
    <w:rsid w:val="00B15796"/>
    <w:rsid w:val="00B16129"/>
    <w:rsid w:val="00B1692F"/>
    <w:rsid w:val="00B169CD"/>
    <w:rsid w:val="00B209C8"/>
    <w:rsid w:val="00B20D8D"/>
    <w:rsid w:val="00B21248"/>
    <w:rsid w:val="00B2194D"/>
    <w:rsid w:val="00B259EB"/>
    <w:rsid w:val="00B26DF1"/>
    <w:rsid w:val="00B34CE4"/>
    <w:rsid w:val="00B34D54"/>
    <w:rsid w:val="00B378E3"/>
    <w:rsid w:val="00B41B30"/>
    <w:rsid w:val="00B46757"/>
    <w:rsid w:val="00B46D34"/>
    <w:rsid w:val="00B472F6"/>
    <w:rsid w:val="00B51909"/>
    <w:rsid w:val="00B5262D"/>
    <w:rsid w:val="00B55A56"/>
    <w:rsid w:val="00B6229E"/>
    <w:rsid w:val="00B62EB9"/>
    <w:rsid w:val="00B648B2"/>
    <w:rsid w:val="00B65937"/>
    <w:rsid w:val="00B66E46"/>
    <w:rsid w:val="00B7097E"/>
    <w:rsid w:val="00B71123"/>
    <w:rsid w:val="00B725BC"/>
    <w:rsid w:val="00B729D0"/>
    <w:rsid w:val="00B7382E"/>
    <w:rsid w:val="00B81D64"/>
    <w:rsid w:val="00B8296D"/>
    <w:rsid w:val="00B943E1"/>
    <w:rsid w:val="00B95D4B"/>
    <w:rsid w:val="00BA2F42"/>
    <w:rsid w:val="00BA32A9"/>
    <w:rsid w:val="00BA7051"/>
    <w:rsid w:val="00BA758A"/>
    <w:rsid w:val="00BB38FF"/>
    <w:rsid w:val="00BB4213"/>
    <w:rsid w:val="00BC1719"/>
    <w:rsid w:val="00BD069D"/>
    <w:rsid w:val="00BD0D54"/>
    <w:rsid w:val="00BD11D4"/>
    <w:rsid w:val="00BD4DCD"/>
    <w:rsid w:val="00BD7AEA"/>
    <w:rsid w:val="00BE285F"/>
    <w:rsid w:val="00BE36E3"/>
    <w:rsid w:val="00C04E04"/>
    <w:rsid w:val="00C05F3C"/>
    <w:rsid w:val="00C0698B"/>
    <w:rsid w:val="00C10ED3"/>
    <w:rsid w:val="00C11AAD"/>
    <w:rsid w:val="00C149FE"/>
    <w:rsid w:val="00C15727"/>
    <w:rsid w:val="00C21815"/>
    <w:rsid w:val="00C27588"/>
    <w:rsid w:val="00C27EF2"/>
    <w:rsid w:val="00C3053D"/>
    <w:rsid w:val="00C33486"/>
    <w:rsid w:val="00C434F0"/>
    <w:rsid w:val="00C450B6"/>
    <w:rsid w:val="00C45DE2"/>
    <w:rsid w:val="00C51B29"/>
    <w:rsid w:val="00C53537"/>
    <w:rsid w:val="00C54DA4"/>
    <w:rsid w:val="00C5572F"/>
    <w:rsid w:val="00C63CC0"/>
    <w:rsid w:val="00C65334"/>
    <w:rsid w:val="00C66AE4"/>
    <w:rsid w:val="00C6747F"/>
    <w:rsid w:val="00C73459"/>
    <w:rsid w:val="00C73518"/>
    <w:rsid w:val="00C736D5"/>
    <w:rsid w:val="00C73BB0"/>
    <w:rsid w:val="00C7431F"/>
    <w:rsid w:val="00C7491F"/>
    <w:rsid w:val="00C8210B"/>
    <w:rsid w:val="00C830C3"/>
    <w:rsid w:val="00C83106"/>
    <w:rsid w:val="00C87D3E"/>
    <w:rsid w:val="00C929CA"/>
    <w:rsid w:val="00C95B5D"/>
    <w:rsid w:val="00CA4DA3"/>
    <w:rsid w:val="00CA6560"/>
    <w:rsid w:val="00CA684D"/>
    <w:rsid w:val="00CA7EDE"/>
    <w:rsid w:val="00CC2734"/>
    <w:rsid w:val="00CC798B"/>
    <w:rsid w:val="00CD0BC4"/>
    <w:rsid w:val="00CD2375"/>
    <w:rsid w:val="00CD2527"/>
    <w:rsid w:val="00CD3535"/>
    <w:rsid w:val="00CD7B5E"/>
    <w:rsid w:val="00CD7C6B"/>
    <w:rsid w:val="00CF2258"/>
    <w:rsid w:val="00D02201"/>
    <w:rsid w:val="00D02663"/>
    <w:rsid w:val="00D042D3"/>
    <w:rsid w:val="00D04384"/>
    <w:rsid w:val="00D13797"/>
    <w:rsid w:val="00D20891"/>
    <w:rsid w:val="00D24482"/>
    <w:rsid w:val="00D279ED"/>
    <w:rsid w:val="00D302F3"/>
    <w:rsid w:val="00D327B3"/>
    <w:rsid w:val="00D36998"/>
    <w:rsid w:val="00D4221F"/>
    <w:rsid w:val="00D449FF"/>
    <w:rsid w:val="00D47128"/>
    <w:rsid w:val="00D53B81"/>
    <w:rsid w:val="00D56C6A"/>
    <w:rsid w:val="00D62E63"/>
    <w:rsid w:val="00D63852"/>
    <w:rsid w:val="00D64925"/>
    <w:rsid w:val="00D66361"/>
    <w:rsid w:val="00D67578"/>
    <w:rsid w:val="00D744F6"/>
    <w:rsid w:val="00D766BB"/>
    <w:rsid w:val="00D76D9A"/>
    <w:rsid w:val="00D81299"/>
    <w:rsid w:val="00D82C90"/>
    <w:rsid w:val="00D930B7"/>
    <w:rsid w:val="00D95CBB"/>
    <w:rsid w:val="00D96599"/>
    <w:rsid w:val="00DA0BF1"/>
    <w:rsid w:val="00DA3C38"/>
    <w:rsid w:val="00DA64C3"/>
    <w:rsid w:val="00DB540A"/>
    <w:rsid w:val="00DC7CBD"/>
    <w:rsid w:val="00DD2F5E"/>
    <w:rsid w:val="00DD3CFA"/>
    <w:rsid w:val="00DD51DC"/>
    <w:rsid w:val="00DD726A"/>
    <w:rsid w:val="00DE712B"/>
    <w:rsid w:val="00DF0AC9"/>
    <w:rsid w:val="00DF0D81"/>
    <w:rsid w:val="00DF1715"/>
    <w:rsid w:val="00DF190F"/>
    <w:rsid w:val="00DF3C42"/>
    <w:rsid w:val="00E011D9"/>
    <w:rsid w:val="00E0315F"/>
    <w:rsid w:val="00E046C9"/>
    <w:rsid w:val="00E121AC"/>
    <w:rsid w:val="00E12E5C"/>
    <w:rsid w:val="00E15B2E"/>
    <w:rsid w:val="00E16714"/>
    <w:rsid w:val="00E16901"/>
    <w:rsid w:val="00E20F7A"/>
    <w:rsid w:val="00E218A8"/>
    <w:rsid w:val="00E22003"/>
    <w:rsid w:val="00E26F46"/>
    <w:rsid w:val="00E32616"/>
    <w:rsid w:val="00E3481E"/>
    <w:rsid w:val="00E40F33"/>
    <w:rsid w:val="00E434DF"/>
    <w:rsid w:val="00E45F87"/>
    <w:rsid w:val="00E51707"/>
    <w:rsid w:val="00E5538D"/>
    <w:rsid w:val="00E56305"/>
    <w:rsid w:val="00E601BD"/>
    <w:rsid w:val="00E75769"/>
    <w:rsid w:val="00E77A8F"/>
    <w:rsid w:val="00E8057E"/>
    <w:rsid w:val="00E811AB"/>
    <w:rsid w:val="00E83E7B"/>
    <w:rsid w:val="00E862E6"/>
    <w:rsid w:val="00E869AF"/>
    <w:rsid w:val="00EA0EEC"/>
    <w:rsid w:val="00EA2FE6"/>
    <w:rsid w:val="00EA4198"/>
    <w:rsid w:val="00EA7734"/>
    <w:rsid w:val="00EB0E12"/>
    <w:rsid w:val="00EB302F"/>
    <w:rsid w:val="00EB4830"/>
    <w:rsid w:val="00EB5A39"/>
    <w:rsid w:val="00EB677D"/>
    <w:rsid w:val="00EC2305"/>
    <w:rsid w:val="00EC7AEC"/>
    <w:rsid w:val="00ED52E4"/>
    <w:rsid w:val="00EE0C32"/>
    <w:rsid w:val="00EE67A2"/>
    <w:rsid w:val="00EE7F0C"/>
    <w:rsid w:val="00EF0163"/>
    <w:rsid w:val="00EF3550"/>
    <w:rsid w:val="00EF4FD0"/>
    <w:rsid w:val="00EF5DE5"/>
    <w:rsid w:val="00F005CE"/>
    <w:rsid w:val="00F00F2C"/>
    <w:rsid w:val="00F01DF4"/>
    <w:rsid w:val="00F02592"/>
    <w:rsid w:val="00F0452F"/>
    <w:rsid w:val="00F055A3"/>
    <w:rsid w:val="00F05C3D"/>
    <w:rsid w:val="00F06D6D"/>
    <w:rsid w:val="00F119FC"/>
    <w:rsid w:val="00F13DA1"/>
    <w:rsid w:val="00F20040"/>
    <w:rsid w:val="00F20083"/>
    <w:rsid w:val="00F2300A"/>
    <w:rsid w:val="00F2551C"/>
    <w:rsid w:val="00F33296"/>
    <w:rsid w:val="00F334EA"/>
    <w:rsid w:val="00F35B8B"/>
    <w:rsid w:val="00F44521"/>
    <w:rsid w:val="00F44E0E"/>
    <w:rsid w:val="00F4531F"/>
    <w:rsid w:val="00F4547B"/>
    <w:rsid w:val="00F50DE7"/>
    <w:rsid w:val="00F518C9"/>
    <w:rsid w:val="00F575A8"/>
    <w:rsid w:val="00F62F31"/>
    <w:rsid w:val="00F6685E"/>
    <w:rsid w:val="00F67810"/>
    <w:rsid w:val="00F83932"/>
    <w:rsid w:val="00F869CB"/>
    <w:rsid w:val="00F93B97"/>
    <w:rsid w:val="00F96028"/>
    <w:rsid w:val="00F9674E"/>
    <w:rsid w:val="00F9679B"/>
    <w:rsid w:val="00FA57C8"/>
    <w:rsid w:val="00FB30F0"/>
    <w:rsid w:val="00FB3D4B"/>
    <w:rsid w:val="00FB6104"/>
    <w:rsid w:val="00FB7C0C"/>
    <w:rsid w:val="00FC01DF"/>
    <w:rsid w:val="00FC02C7"/>
    <w:rsid w:val="00FC1A00"/>
    <w:rsid w:val="00FC7631"/>
    <w:rsid w:val="00FC7B7E"/>
    <w:rsid w:val="00FD14F6"/>
    <w:rsid w:val="00FD22DD"/>
    <w:rsid w:val="00FD2C87"/>
    <w:rsid w:val="00FD7672"/>
    <w:rsid w:val="00FE3F1F"/>
    <w:rsid w:val="00FF0697"/>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C3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DE"/>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472F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285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D30C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D30C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1D30C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2F6"/>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semiHidden/>
    <w:locked/>
    <w:rsid w:val="006F285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D30C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locked/>
    <w:rsid w:val="001D30C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locked/>
    <w:rsid w:val="001D30CF"/>
    <w:rPr>
      <w:rFonts w:ascii="Calibri" w:hAnsi="Calibri" w:cs="Times New Roman"/>
      <w:b/>
      <w:bCs/>
      <w:i/>
      <w:iCs/>
      <w:sz w:val="26"/>
      <w:szCs w:val="26"/>
      <w:lang w:val="en-GB" w:eastAsia="en-US"/>
    </w:rPr>
  </w:style>
  <w:style w:type="paragraph" w:customStyle="1" w:styleId="Overskriftx">
    <w:name w:val="Overskriftx"/>
    <w:basedOn w:val="Heading2"/>
    <w:uiPriority w:val="99"/>
    <w:rsid w:val="006F2855"/>
    <w:pPr>
      <w:widowControl w:val="0"/>
      <w:suppressAutoHyphens/>
      <w:autoSpaceDN w:val="0"/>
      <w:spacing w:before="360" w:after="240"/>
      <w:textAlignment w:val="baseline"/>
    </w:pPr>
    <w:rPr>
      <w:kern w:val="3"/>
      <w:lang w:eastAsia="da-DK"/>
    </w:rPr>
  </w:style>
  <w:style w:type="paragraph" w:styleId="Title">
    <w:name w:val="Title"/>
    <w:basedOn w:val="Normal"/>
    <w:next w:val="Normal"/>
    <w:link w:val="TitleChar"/>
    <w:uiPriority w:val="99"/>
    <w:qFormat/>
    <w:rsid w:val="00B472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472F6"/>
    <w:rPr>
      <w:rFonts w:ascii="Cambria" w:hAnsi="Cambria" w:cs="Times New Roman"/>
      <w:color w:val="17365D"/>
      <w:spacing w:val="5"/>
      <w:kern w:val="28"/>
      <w:sz w:val="52"/>
      <w:szCs w:val="52"/>
      <w:lang w:val="en-GB"/>
    </w:rPr>
  </w:style>
  <w:style w:type="paragraph" w:styleId="Subtitle">
    <w:name w:val="Subtitle"/>
    <w:basedOn w:val="Normal"/>
    <w:next w:val="Normal"/>
    <w:link w:val="SubtitleChar"/>
    <w:uiPriority w:val="99"/>
    <w:qFormat/>
    <w:rsid w:val="00B472F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472F6"/>
    <w:rPr>
      <w:rFonts w:ascii="Cambria" w:hAnsi="Cambria" w:cs="Times New Roman"/>
      <w:i/>
      <w:iCs/>
      <w:color w:val="4F81BD"/>
      <w:spacing w:val="15"/>
      <w:sz w:val="24"/>
      <w:szCs w:val="24"/>
      <w:lang w:val="en-GB"/>
    </w:rPr>
  </w:style>
  <w:style w:type="character" w:styleId="Emphasis">
    <w:name w:val="Emphasis"/>
    <w:basedOn w:val="DefaultParagraphFont"/>
    <w:uiPriority w:val="99"/>
    <w:qFormat/>
    <w:rsid w:val="00B472F6"/>
    <w:rPr>
      <w:rFonts w:cs="Times New Roman"/>
      <w:i/>
      <w:iCs/>
    </w:rPr>
  </w:style>
  <w:style w:type="paragraph" w:styleId="BalloonText">
    <w:name w:val="Balloon Text"/>
    <w:basedOn w:val="Normal"/>
    <w:link w:val="BalloonTextChar"/>
    <w:uiPriority w:val="99"/>
    <w:semiHidden/>
    <w:rsid w:val="00B4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2F6"/>
    <w:rPr>
      <w:rFonts w:ascii="Tahoma" w:hAnsi="Tahoma" w:cs="Tahoma"/>
      <w:sz w:val="16"/>
      <w:szCs w:val="16"/>
      <w:lang w:val="en-GB"/>
    </w:rPr>
  </w:style>
  <w:style w:type="paragraph" w:customStyle="1" w:styleId="Listeafsnit1">
    <w:name w:val="Listeafsnit1"/>
    <w:basedOn w:val="Normal"/>
    <w:uiPriority w:val="99"/>
    <w:rsid w:val="00B472F6"/>
    <w:pPr>
      <w:ind w:left="720"/>
      <w:contextualSpacing/>
    </w:pPr>
  </w:style>
  <w:style w:type="paragraph" w:styleId="TOC1">
    <w:name w:val="toc 1"/>
    <w:basedOn w:val="Normal"/>
    <w:next w:val="Normal"/>
    <w:autoRedefine/>
    <w:uiPriority w:val="39"/>
    <w:rsid w:val="003A6177"/>
    <w:pPr>
      <w:spacing w:after="100"/>
    </w:pPr>
  </w:style>
  <w:style w:type="character" w:styleId="Hyperlink">
    <w:name w:val="Hyperlink"/>
    <w:basedOn w:val="DefaultParagraphFont"/>
    <w:uiPriority w:val="99"/>
    <w:rsid w:val="003A6177"/>
    <w:rPr>
      <w:rFonts w:cs="Times New Roman"/>
      <w:color w:val="0000FF"/>
      <w:u w:val="single"/>
    </w:rPr>
  </w:style>
  <w:style w:type="paragraph" w:styleId="Header">
    <w:name w:val="header"/>
    <w:basedOn w:val="Normal"/>
    <w:link w:val="HeaderChar"/>
    <w:uiPriority w:val="99"/>
    <w:rsid w:val="00410BBD"/>
    <w:pPr>
      <w:tabs>
        <w:tab w:val="center" w:pos="4513"/>
        <w:tab w:val="right" w:pos="9026"/>
      </w:tabs>
    </w:pPr>
  </w:style>
  <w:style w:type="character" w:customStyle="1" w:styleId="HeaderChar">
    <w:name w:val="Header Char"/>
    <w:basedOn w:val="DefaultParagraphFont"/>
    <w:link w:val="Header"/>
    <w:uiPriority w:val="99"/>
    <w:locked/>
    <w:rsid w:val="00410BBD"/>
    <w:rPr>
      <w:rFonts w:cs="Times New Roman"/>
      <w:sz w:val="22"/>
      <w:szCs w:val="22"/>
      <w:lang w:val="en-GB" w:eastAsia="en-US"/>
    </w:rPr>
  </w:style>
  <w:style w:type="paragraph" w:styleId="Footer">
    <w:name w:val="footer"/>
    <w:basedOn w:val="Normal"/>
    <w:link w:val="FooterChar"/>
    <w:uiPriority w:val="99"/>
    <w:rsid w:val="00410BBD"/>
    <w:pPr>
      <w:tabs>
        <w:tab w:val="center" w:pos="4513"/>
        <w:tab w:val="right" w:pos="9026"/>
      </w:tabs>
    </w:pPr>
  </w:style>
  <w:style w:type="character" w:customStyle="1" w:styleId="FooterChar">
    <w:name w:val="Footer Char"/>
    <w:basedOn w:val="DefaultParagraphFont"/>
    <w:link w:val="Footer"/>
    <w:uiPriority w:val="99"/>
    <w:locked/>
    <w:rsid w:val="00410BBD"/>
    <w:rPr>
      <w:rFonts w:cs="Times New Roman"/>
      <w:sz w:val="22"/>
      <w:szCs w:val="22"/>
      <w:lang w:val="en-GB" w:eastAsia="en-US"/>
    </w:rPr>
  </w:style>
  <w:style w:type="character" w:styleId="FootnoteReference">
    <w:name w:val="footnote reference"/>
    <w:basedOn w:val="DefaultParagraphFont"/>
    <w:uiPriority w:val="99"/>
    <w:rsid w:val="00926A1C"/>
    <w:rPr>
      <w:rFonts w:cs="Times New Roman"/>
      <w:vertAlign w:val="superscript"/>
    </w:rPr>
  </w:style>
  <w:style w:type="paragraph" w:styleId="FootnoteText">
    <w:name w:val="footnote text"/>
    <w:basedOn w:val="Normal"/>
    <w:link w:val="FootnoteTextChar1"/>
    <w:uiPriority w:val="99"/>
    <w:rsid w:val="0071684A"/>
    <w:rPr>
      <w:sz w:val="20"/>
      <w:szCs w:val="20"/>
    </w:rPr>
  </w:style>
  <w:style w:type="character" w:customStyle="1" w:styleId="FootnoteTextChar">
    <w:name w:val="Footnote Text Char"/>
    <w:basedOn w:val="DefaultParagraphFont"/>
    <w:uiPriority w:val="99"/>
    <w:locked/>
    <w:rsid w:val="00955FFC"/>
    <w:rPr>
      <w:rFonts w:cs="Times New Roman"/>
      <w:sz w:val="20"/>
      <w:szCs w:val="20"/>
    </w:rPr>
  </w:style>
  <w:style w:type="character" w:customStyle="1" w:styleId="FootnoteTextChar1">
    <w:name w:val="Footnote Text Char1"/>
    <w:basedOn w:val="DefaultParagraphFont"/>
    <w:link w:val="FootnoteText"/>
    <w:uiPriority w:val="99"/>
    <w:locked/>
    <w:rsid w:val="00263C29"/>
    <w:rPr>
      <w:rFonts w:cs="Times New Roman"/>
      <w:lang w:val="en-GB" w:eastAsia="en-US"/>
    </w:rPr>
  </w:style>
  <w:style w:type="character" w:customStyle="1" w:styleId="apple-converted-space">
    <w:name w:val="apple-converted-space"/>
    <w:basedOn w:val="DefaultParagraphFont"/>
    <w:rsid w:val="002A7AAC"/>
    <w:rPr>
      <w:rFonts w:cs="Times New Roman"/>
    </w:rPr>
  </w:style>
  <w:style w:type="paragraph" w:styleId="BodyText">
    <w:name w:val="Body Text"/>
    <w:basedOn w:val="Normal"/>
    <w:link w:val="BodyTextChar"/>
    <w:uiPriority w:val="99"/>
    <w:rsid w:val="00D95CBB"/>
    <w:pPr>
      <w:spacing w:after="120"/>
    </w:pPr>
  </w:style>
  <w:style w:type="character" w:customStyle="1" w:styleId="BodyTextChar">
    <w:name w:val="Body Text Char"/>
    <w:basedOn w:val="DefaultParagraphFont"/>
    <w:link w:val="BodyText"/>
    <w:uiPriority w:val="99"/>
    <w:semiHidden/>
    <w:rsid w:val="00CF398A"/>
    <w:rPr>
      <w:lang w:val="en-GB" w:eastAsia="en-US"/>
    </w:rPr>
  </w:style>
  <w:style w:type="paragraph" w:customStyle="1" w:styleId="NormalTimesNewRoman">
    <w:name w:val="Normal + Times New Roman"/>
    <w:aliases w:val="12 pkt,Sort,Lige margener,Efter:  0 pkt.,Linjea... +..."/>
    <w:basedOn w:val="Normal"/>
    <w:uiPriority w:val="99"/>
    <w:rsid w:val="00D95CBB"/>
    <w:pPr>
      <w:spacing w:after="0" w:line="240" w:lineRule="auto"/>
      <w:jc w:val="both"/>
    </w:pPr>
    <w:rPr>
      <w:rFonts w:ascii="Times New Roman" w:hAnsi="Times New Roman"/>
      <w:color w:val="000000"/>
      <w:sz w:val="24"/>
      <w:szCs w:val="24"/>
    </w:rPr>
  </w:style>
  <w:style w:type="paragraph" w:customStyle="1" w:styleId="Default">
    <w:name w:val="Default"/>
    <w:uiPriority w:val="99"/>
    <w:rsid w:val="005B6D6F"/>
    <w:pPr>
      <w:autoSpaceDE w:val="0"/>
      <w:autoSpaceDN w:val="0"/>
      <w:adjustRightInd w:val="0"/>
    </w:pPr>
    <w:rPr>
      <w:rFonts w:eastAsia="Times New Roman" w:cs="Calibri"/>
      <w:color w:val="000000"/>
    </w:rPr>
  </w:style>
  <w:style w:type="table" w:styleId="TableGrid">
    <w:name w:val="Table Grid"/>
    <w:basedOn w:val="TableNormal"/>
    <w:uiPriority w:val="99"/>
    <w:rsid w:val="00D2448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FFC"/>
    <w:pPr>
      <w:ind w:left="720"/>
      <w:contextualSpacing/>
    </w:pPr>
    <w:rPr>
      <w:rFonts w:eastAsia="Times New Roman"/>
      <w:lang w:val="da-DK"/>
    </w:rPr>
  </w:style>
  <w:style w:type="character" w:styleId="FollowedHyperlink">
    <w:name w:val="FollowedHyperlink"/>
    <w:basedOn w:val="DefaultParagraphFont"/>
    <w:uiPriority w:val="99"/>
    <w:semiHidden/>
    <w:rsid w:val="00DF0D81"/>
    <w:rPr>
      <w:rFonts w:cs="Times New Roman"/>
      <w:color w:val="800080"/>
      <w:u w:val="single"/>
    </w:rPr>
  </w:style>
  <w:style w:type="character" w:styleId="CommentReference">
    <w:name w:val="annotation reference"/>
    <w:basedOn w:val="DefaultParagraphFont"/>
    <w:uiPriority w:val="99"/>
    <w:semiHidden/>
    <w:rsid w:val="00167D9C"/>
    <w:rPr>
      <w:rFonts w:cs="Times New Roman"/>
      <w:sz w:val="18"/>
      <w:szCs w:val="18"/>
    </w:rPr>
  </w:style>
  <w:style w:type="paragraph" w:styleId="CommentText">
    <w:name w:val="annotation text"/>
    <w:basedOn w:val="Normal"/>
    <w:link w:val="CommentTextChar"/>
    <w:uiPriority w:val="99"/>
    <w:semiHidden/>
    <w:rsid w:val="00167D9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67D9C"/>
    <w:rPr>
      <w:rFonts w:cs="Times New Roman"/>
      <w:sz w:val="24"/>
      <w:szCs w:val="24"/>
      <w:lang w:val="en-GB" w:eastAsia="en-US"/>
    </w:rPr>
  </w:style>
  <w:style w:type="paragraph" w:styleId="CommentSubject">
    <w:name w:val="annotation subject"/>
    <w:basedOn w:val="CommentText"/>
    <w:next w:val="CommentText"/>
    <w:link w:val="CommentSubjectChar"/>
    <w:uiPriority w:val="99"/>
    <w:semiHidden/>
    <w:rsid w:val="00167D9C"/>
    <w:rPr>
      <w:b/>
      <w:bCs/>
      <w:sz w:val="20"/>
      <w:szCs w:val="20"/>
    </w:rPr>
  </w:style>
  <w:style w:type="character" w:customStyle="1" w:styleId="CommentSubjectChar">
    <w:name w:val="Comment Subject Char"/>
    <w:basedOn w:val="CommentTextChar"/>
    <w:link w:val="CommentSubject"/>
    <w:uiPriority w:val="99"/>
    <w:semiHidden/>
    <w:locked/>
    <w:rsid w:val="00167D9C"/>
    <w:rPr>
      <w:rFonts w:cs="Times New Roman"/>
      <w:b/>
      <w:bCs/>
      <w:sz w:val="24"/>
      <w:szCs w:val="24"/>
      <w:lang w:val="en-GB" w:eastAsia="en-US"/>
    </w:rPr>
  </w:style>
  <w:style w:type="paragraph" w:customStyle="1" w:styleId="xmsonormal">
    <w:name w:val="x_msonormal"/>
    <w:basedOn w:val="Normal"/>
    <w:rsid w:val="007C596F"/>
    <w:pPr>
      <w:spacing w:before="100" w:beforeAutospacing="1" w:after="100" w:afterAutospacing="1" w:line="240" w:lineRule="auto"/>
    </w:pPr>
    <w:rPr>
      <w:rFonts w:ascii="Times" w:eastAsiaTheme="minorEastAsia" w:hAnsi="Times" w:cstheme="minorBidi"/>
      <w:sz w:val="20"/>
      <w:szCs w:val="20"/>
    </w:rPr>
  </w:style>
  <w:style w:type="table" w:styleId="LightList-Accent5">
    <w:name w:val="Light List Accent 5"/>
    <w:basedOn w:val="TableNormal"/>
    <w:uiPriority w:val="61"/>
    <w:rsid w:val="007A60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7A60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A602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semiHidden/>
    <w:unhideWhenUsed/>
    <w:rsid w:val="00B1692F"/>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B1692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692F"/>
    <w:rPr>
      <w:rFonts w:ascii="Consolas" w:eastAsiaTheme="minorHAnsi" w:hAnsi="Consolas" w:cstheme="minorBidi"/>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DE"/>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472F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285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D30C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D30C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1D30C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2F6"/>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semiHidden/>
    <w:locked/>
    <w:rsid w:val="006F285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D30C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locked/>
    <w:rsid w:val="001D30C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locked/>
    <w:rsid w:val="001D30CF"/>
    <w:rPr>
      <w:rFonts w:ascii="Calibri" w:hAnsi="Calibri" w:cs="Times New Roman"/>
      <w:b/>
      <w:bCs/>
      <w:i/>
      <w:iCs/>
      <w:sz w:val="26"/>
      <w:szCs w:val="26"/>
      <w:lang w:val="en-GB" w:eastAsia="en-US"/>
    </w:rPr>
  </w:style>
  <w:style w:type="paragraph" w:customStyle="1" w:styleId="Overskriftx">
    <w:name w:val="Overskriftx"/>
    <w:basedOn w:val="Heading2"/>
    <w:uiPriority w:val="99"/>
    <w:rsid w:val="006F2855"/>
    <w:pPr>
      <w:widowControl w:val="0"/>
      <w:suppressAutoHyphens/>
      <w:autoSpaceDN w:val="0"/>
      <w:spacing w:before="360" w:after="240"/>
      <w:textAlignment w:val="baseline"/>
    </w:pPr>
    <w:rPr>
      <w:kern w:val="3"/>
      <w:lang w:eastAsia="da-DK"/>
    </w:rPr>
  </w:style>
  <w:style w:type="paragraph" w:styleId="Title">
    <w:name w:val="Title"/>
    <w:basedOn w:val="Normal"/>
    <w:next w:val="Normal"/>
    <w:link w:val="TitleChar"/>
    <w:uiPriority w:val="99"/>
    <w:qFormat/>
    <w:rsid w:val="00B472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472F6"/>
    <w:rPr>
      <w:rFonts w:ascii="Cambria" w:hAnsi="Cambria" w:cs="Times New Roman"/>
      <w:color w:val="17365D"/>
      <w:spacing w:val="5"/>
      <w:kern w:val="28"/>
      <w:sz w:val="52"/>
      <w:szCs w:val="52"/>
      <w:lang w:val="en-GB"/>
    </w:rPr>
  </w:style>
  <w:style w:type="paragraph" w:styleId="Subtitle">
    <w:name w:val="Subtitle"/>
    <w:basedOn w:val="Normal"/>
    <w:next w:val="Normal"/>
    <w:link w:val="SubtitleChar"/>
    <w:uiPriority w:val="99"/>
    <w:qFormat/>
    <w:rsid w:val="00B472F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472F6"/>
    <w:rPr>
      <w:rFonts w:ascii="Cambria" w:hAnsi="Cambria" w:cs="Times New Roman"/>
      <w:i/>
      <w:iCs/>
      <w:color w:val="4F81BD"/>
      <w:spacing w:val="15"/>
      <w:sz w:val="24"/>
      <w:szCs w:val="24"/>
      <w:lang w:val="en-GB"/>
    </w:rPr>
  </w:style>
  <w:style w:type="character" w:styleId="Emphasis">
    <w:name w:val="Emphasis"/>
    <w:basedOn w:val="DefaultParagraphFont"/>
    <w:uiPriority w:val="99"/>
    <w:qFormat/>
    <w:rsid w:val="00B472F6"/>
    <w:rPr>
      <w:rFonts w:cs="Times New Roman"/>
      <w:i/>
      <w:iCs/>
    </w:rPr>
  </w:style>
  <w:style w:type="paragraph" w:styleId="BalloonText">
    <w:name w:val="Balloon Text"/>
    <w:basedOn w:val="Normal"/>
    <w:link w:val="BalloonTextChar"/>
    <w:uiPriority w:val="99"/>
    <w:semiHidden/>
    <w:rsid w:val="00B4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2F6"/>
    <w:rPr>
      <w:rFonts w:ascii="Tahoma" w:hAnsi="Tahoma" w:cs="Tahoma"/>
      <w:sz w:val="16"/>
      <w:szCs w:val="16"/>
      <w:lang w:val="en-GB"/>
    </w:rPr>
  </w:style>
  <w:style w:type="paragraph" w:customStyle="1" w:styleId="Listeafsnit1">
    <w:name w:val="Listeafsnit1"/>
    <w:basedOn w:val="Normal"/>
    <w:uiPriority w:val="99"/>
    <w:rsid w:val="00B472F6"/>
    <w:pPr>
      <w:ind w:left="720"/>
      <w:contextualSpacing/>
    </w:pPr>
  </w:style>
  <w:style w:type="paragraph" w:styleId="TOC1">
    <w:name w:val="toc 1"/>
    <w:basedOn w:val="Normal"/>
    <w:next w:val="Normal"/>
    <w:autoRedefine/>
    <w:uiPriority w:val="39"/>
    <w:rsid w:val="003A6177"/>
    <w:pPr>
      <w:spacing w:after="100"/>
    </w:pPr>
  </w:style>
  <w:style w:type="character" w:styleId="Hyperlink">
    <w:name w:val="Hyperlink"/>
    <w:basedOn w:val="DefaultParagraphFont"/>
    <w:uiPriority w:val="99"/>
    <w:rsid w:val="003A6177"/>
    <w:rPr>
      <w:rFonts w:cs="Times New Roman"/>
      <w:color w:val="0000FF"/>
      <w:u w:val="single"/>
    </w:rPr>
  </w:style>
  <w:style w:type="paragraph" w:styleId="Header">
    <w:name w:val="header"/>
    <w:basedOn w:val="Normal"/>
    <w:link w:val="HeaderChar"/>
    <w:uiPriority w:val="99"/>
    <w:rsid w:val="00410BBD"/>
    <w:pPr>
      <w:tabs>
        <w:tab w:val="center" w:pos="4513"/>
        <w:tab w:val="right" w:pos="9026"/>
      </w:tabs>
    </w:pPr>
  </w:style>
  <w:style w:type="character" w:customStyle="1" w:styleId="HeaderChar">
    <w:name w:val="Header Char"/>
    <w:basedOn w:val="DefaultParagraphFont"/>
    <w:link w:val="Header"/>
    <w:uiPriority w:val="99"/>
    <w:locked/>
    <w:rsid w:val="00410BBD"/>
    <w:rPr>
      <w:rFonts w:cs="Times New Roman"/>
      <w:sz w:val="22"/>
      <w:szCs w:val="22"/>
      <w:lang w:val="en-GB" w:eastAsia="en-US"/>
    </w:rPr>
  </w:style>
  <w:style w:type="paragraph" w:styleId="Footer">
    <w:name w:val="footer"/>
    <w:basedOn w:val="Normal"/>
    <w:link w:val="FooterChar"/>
    <w:uiPriority w:val="99"/>
    <w:rsid w:val="00410BBD"/>
    <w:pPr>
      <w:tabs>
        <w:tab w:val="center" w:pos="4513"/>
        <w:tab w:val="right" w:pos="9026"/>
      </w:tabs>
    </w:pPr>
  </w:style>
  <w:style w:type="character" w:customStyle="1" w:styleId="FooterChar">
    <w:name w:val="Footer Char"/>
    <w:basedOn w:val="DefaultParagraphFont"/>
    <w:link w:val="Footer"/>
    <w:uiPriority w:val="99"/>
    <w:locked/>
    <w:rsid w:val="00410BBD"/>
    <w:rPr>
      <w:rFonts w:cs="Times New Roman"/>
      <w:sz w:val="22"/>
      <w:szCs w:val="22"/>
      <w:lang w:val="en-GB" w:eastAsia="en-US"/>
    </w:rPr>
  </w:style>
  <w:style w:type="character" w:styleId="FootnoteReference">
    <w:name w:val="footnote reference"/>
    <w:basedOn w:val="DefaultParagraphFont"/>
    <w:uiPriority w:val="99"/>
    <w:rsid w:val="00926A1C"/>
    <w:rPr>
      <w:rFonts w:cs="Times New Roman"/>
      <w:vertAlign w:val="superscript"/>
    </w:rPr>
  </w:style>
  <w:style w:type="paragraph" w:styleId="FootnoteText">
    <w:name w:val="footnote text"/>
    <w:basedOn w:val="Normal"/>
    <w:link w:val="FootnoteTextChar1"/>
    <w:uiPriority w:val="99"/>
    <w:rsid w:val="0071684A"/>
    <w:rPr>
      <w:sz w:val="20"/>
      <w:szCs w:val="20"/>
    </w:rPr>
  </w:style>
  <w:style w:type="character" w:customStyle="1" w:styleId="FootnoteTextChar">
    <w:name w:val="Footnote Text Char"/>
    <w:basedOn w:val="DefaultParagraphFont"/>
    <w:uiPriority w:val="99"/>
    <w:locked/>
    <w:rsid w:val="00955FFC"/>
    <w:rPr>
      <w:rFonts w:cs="Times New Roman"/>
      <w:sz w:val="20"/>
      <w:szCs w:val="20"/>
    </w:rPr>
  </w:style>
  <w:style w:type="character" w:customStyle="1" w:styleId="FootnoteTextChar1">
    <w:name w:val="Footnote Text Char1"/>
    <w:basedOn w:val="DefaultParagraphFont"/>
    <w:link w:val="FootnoteText"/>
    <w:uiPriority w:val="99"/>
    <w:locked/>
    <w:rsid w:val="00263C29"/>
    <w:rPr>
      <w:rFonts w:cs="Times New Roman"/>
      <w:lang w:val="en-GB" w:eastAsia="en-US"/>
    </w:rPr>
  </w:style>
  <w:style w:type="character" w:customStyle="1" w:styleId="apple-converted-space">
    <w:name w:val="apple-converted-space"/>
    <w:basedOn w:val="DefaultParagraphFont"/>
    <w:rsid w:val="002A7AAC"/>
    <w:rPr>
      <w:rFonts w:cs="Times New Roman"/>
    </w:rPr>
  </w:style>
  <w:style w:type="paragraph" w:styleId="BodyText">
    <w:name w:val="Body Text"/>
    <w:basedOn w:val="Normal"/>
    <w:link w:val="BodyTextChar"/>
    <w:uiPriority w:val="99"/>
    <w:rsid w:val="00D95CBB"/>
    <w:pPr>
      <w:spacing w:after="120"/>
    </w:pPr>
  </w:style>
  <w:style w:type="character" w:customStyle="1" w:styleId="BodyTextChar">
    <w:name w:val="Body Text Char"/>
    <w:basedOn w:val="DefaultParagraphFont"/>
    <w:link w:val="BodyText"/>
    <w:uiPriority w:val="99"/>
    <w:semiHidden/>
    <w:rsid w:val="00CF398A"/>
    <w:rPr>
      <w:lang w:val="en-GB" w:eastAsia="en-US"/>
    </w:rPr>
  </w:style>
  <w:style w:type="paragraph" w:customStyle="1" w:styleId="NormalTimesNewRoman">
    <w:name w:val="Normal + Times New Roman"/>
    <w:aliases w:val="12 pkt,Sort,Lige margener,Efter:  0 pkt.,Linjea... +..."/>
    <w:basedOn w:val="Normal"/>
    <w:uiPriority w:val="99"/>
    <w:rsid w:val="00D95CBB"/>
    <w:pPr>
      <w:spacing w:after="0" w:line="240" w:lineRule="auto"/>
      <w:jc w:val="both"/>
    </w:pPr>
    <w:rPr>
      <w:rFonts w:ascii="Times New Roman" w:hAnsi="Times New Roman"/>
      <w:color w:val="000000"/>
      <w:sz w:val="24"/>
      <w:szCs w:val="24"/>
    </w:rPr>
  </w:style>
  <w:style w:type="paragraph" w:customStyle="1" w:styleId="Default">
    <w:name w:val="Default"/>
    <w:uiPriority w:val="99"/>
    <w:rsid w:val="005B6D6F"/>
    <w:pPr>
      <w:autoSpaceDE w:val="0"/>
      <w:autoSpaceDN w:val="0"/>
      <w:adjustRightInd w:val="0"/>
    </w:pPr>
    <w:rPr>
      <w:rFonts w:eastAsia="Times New Roman" w:cs="Calibri"/>
      <w:color w:val="000000"/>
    </w:rPr>
  </w:style>
  <w:style w:type="table" w:styleId="TableGrid">
    <w:name w:val="Table Grid"/>
    <w:basedOn w:val="TableNormal"/>
    <w:uiPriority w:val="99"/>
    <w:rsid w:val="00D2448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FFC"/>
    <w:pPr>
      <w:ind w:left="720"/>
      <w:contextualSpacing/>
    </w:pPr>
    <w:rPr>
      <w:rFonts w:eastAsia="Times New Roman"/>
      <w:lang w:val="da-DK"/>
    </w:rPr>
  </w:style>
  <w:style w:type="character" w:styleId="FollowedHyperlink">
    <w:name w:val="FollowedHyperlink"/>
    <w:basedOn w:val="DefaultParagraphFont"/>
    <w:uiPriority w:val="99"/>
    <w:semiHidden/>
    <w:rsid w:val="00DF0D81"/>
    <w:rPr>
      <w:rFonts w:cs="Times New Roman"/>
      <w:color w:val="800080"/>
      <w:u w:val="single"/>
    </w:rPr>
  </w:style>
  <w:style w:type="character" w:styleId="CommentReference">
    <w:name w:val="annotation reference"/>
    <w:basedOn w:val="DefaultParagraphFont"/>
    <w:uiPriority w:val="99"/>
    <w:semiHidden/>
    <w:rsid w:val="00167D9C"/>
    <w:rPr>
      <w:rFonts w:cs="Times New Roman"/>
      <w:sz w:val="18"/>
      <w:szCs w:val="18"/>
    </w:rPr>
  </w:style>
  <w:style w:type="paragraph" w:styleId="CommentText">
    <w:name w:val="annotation text"/>
    <w:basedOn w:val="Normal"/>
    <w:link w:val="CommentTextChar"/>
    <w:uiPriority w:val="99"/>
    <w:semiHidden/>
    <w:rsid w:val="00167D9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67D9C"/>
    <w:rPr>
      <w:rFonts w:cs="Times New Roman"/>
      <w:sz w:val="24"/>
      <w:szCs w:val="24"/>
      <w:lang w:val="en-GB" w:eastAsia="en-US"/>
    </w:rPr>
  </w:style>
  <w:style w:type="paragraph" w:styleId="CommentSubject">
    <w:name w:val="annotation subject"/>
    <w:basedOn w:val="CommentText"/>
    <w:next w:val="CommentText"/>
    <w:link w:val="CommentSubjectChar"/>
    <w:uiPriority w:val="99"/>
    <w:semiHidden/>
    <w:rsid w:val="00167D9C"/>
    <w:rPr>
      <w:b/>
      <w:bCs/>
      <w:sz w:val="20"/>
      <w:szCs w:val="20"/>
    </w:rPr>
  </w:style>
  <w:style w:type="character" w:customStyle="1" w:styleId="CommentSubjectChar">
    <w:name w:val="Comment Subject Char"/>
    <w:basedOn w:val="CommentTextChar"/>
    <w:link w:val="CommentSubject"/>
    <w:uiPriority w:val="99"/>
    <w:semiHidden/>
    <w:locked/>
    <w:rsid w:val="00167D9C"/>
    <w:rPr>
      <w:rFonts w:cs="Times New Roman"/>
      <w:b/>
      <w:bCs/>
      <w:sz w:val="24"/>
      <w:szCs w:val="24"/>
      <w:lang w:val="en-GB" w:eastAsia="en-US"/>
    </w:rPr>
  </w:style>
  <w:style w:type="paragraph" w:customStyle="1" w:styleId="xmsonormal">
    <w:name w:val="x_msonormal"/>
    <w:basedOn w:val="Normal"/>
    <w:rsid w:val="007C596F"/>
    <w:pPr>
      <w:spacing w:before="100" w:beforeAutospacing="1" w:after="100" w:afterAutospacing="1" w:line="240" w:lineRule="auto"/>
    </w:pPr>
    <w:rPr>
      <w:rFonts w:ascii="Times" w:eastAsiaTheme="minorEastAsia" w:hAnsi="Times" w:cstheme="minorBidi"/>
      <w:sz w:val="20"/>
      <w:szCs w:val="20"/>
    </w:rPr>
  </w:style>
  <w:style w:type="table" w:styleId="LightList-Accent5">
    <w:name w:val="Light List Accent 5"/>
    <w:basedOn w:val="TableNormal"/>
    <w:uiPriority w:val="61"/>
    <w:rsid w:val="007A60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7A60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A602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semiHidden/>
    <w:unhideWhenUsed/>
    <w:rsid w:val="00B1692F"/>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B1692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692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4188">
      <w:bodyDiv w:val="1"/>
      <w:marLeft w:val="0"/>
      <w:marRight w:val="0"/>
      <w:marTop w:val="0"/>
      <w:marBottom w:val="0"/>
      <w:divBdr>
        <w:top w:val="none" w:sz="0" w:space="0" w:color="auto"/>
        <w:left w:val="none" w:sz="0" w:space="0" w:color="auto"/>
        <w:bottom w:val="none" w:sz="0" w:space="0" w:color="auto"/>
        <w:right w:val="none" w:sz="0" w:space="0" w:color="auto"/>
      </w:divBdr>
    </w:div>
    <w:div w:id="255988477">
      <w:bodyDiv w:val="1"/>
      <w:marLeft w:val="0"/>
      <w:marRight w:val="0"/>
      <w:marTop w:val="0"/>
      <w:marBottom w:val="0"/>
      <w:divBdr>
        <w:top w:val="none" w:sz="0" w:space="0" w:color="auto"/>
        <w:left w:val="none" w:sz="0" w:space="0" w:color="auto"/>
        <w:bottom w:val="none" w:sz="0" w:space="0" w:color="auto"/>
        <w:right w:val="none" w:sz="0" w:space="0" w:color="auto"/>
      </w:divBdr>
    </w:div>
    <w:div w:id="266885821">
      <w:bodyDiv w:val="1"/>
      <w:marLeft w:val="0"/>
      <w:marRight w:val="0"/>
      <w:marTop w:val="0"/>
      <w:marBottom w:val="0"/>
      <w:divBdr>
        <w:top w:val="none" w:sz="0" w:space="0" w:color="auto"/>
        <w:left w:val="none" w:sz="0" w:space="0" w:color="auto"/>
        <w:bottom w:val="none" w:sz="0" w:space="0" w:color="auto"/>
        <w:right w:val="none" w:sz="0" w:space="0" w:color="auto"/>
      </w:divBdr>
    </w:div>
    <w:div w:id="289097446">
      <w:bodyDiv w:val="1"/>
      <w:marLeft w:val="0"/>
      <w:marRight w:val="0"/>
      <w:marTop w:val="0"/>
      <w:marBottom w:val="0"/>
      <w:divBdr>
        <w:top w:val="none" w:sz="0" w:space="0" w:color="auto"/>
        <w:left w:val="none" w:sz="0" w:space="0" w:color="auto"/>
        <w:bottom w:val="none" w:sz="0" w:space="0" w:color="auto"/>
        <w:right w:val="none" w:sz="0" w:space="0" w:color="auto"/>
      </w:divBdr>
    </w:div>
    <w:div w:id="1078360914">
      <w:bodyDiv w:val="1"/>
      <w:marLeft w:val="0"/>
      <w:marRight w:val="0"/>
      <w:marTop w:val="0"/>
      <w:marBottom w:val="0"/>
      <w:divBdr>
        <w:top w:val="none" w:sz="0" w:space="0" w:color="auto"/>
        <w:left w:val="none" w:sz="0" w:space="0" w:color="auto"/>
        <w:bottom w:val="none" w:sz="0" w:space="0" w:color="auto"/>
        <w:right w:val="none" w:sz="0" w:space="0" w:color="auto"/>
      </w:divBdr>
    </w:div>
    <w:div w:id="1187209699">
      <w:bodyDiv w:val="1"/>
      <w:marLeft w:val="0"/>
      <w:marRight w:val="0"/>
      <w:marTop w:val="0"/>
      <w:marBottom w:val="0"/>
      <w:divBdr>
        <w:top w:val="none" w:sz="0" w:space="0" w:color="auto"/>
        <w:left w:val="none" w:sz="0" w:space="0" w:color="auto"/>
        <w:bottom w:val="none" w:sz="0" w:space="0" w:color="auto"/>
        <w:right w:val="none" w:sz="0" w:space="0" w:color="auto"/>
      </w:divBdr>
    </w:div>
    <w:div w:id="1506825635">
      <w:bodyDiv w:val="1"/>
      <w:marLeft w:val="0"/>
      <w:marRight w:val="0"/>
      <w:marTop w:val="0"/>
      <w:marBottom w:val="0"/>
      <w:divBdr>
        <w:top w:val="none" w:sz="0" w:space="0" w:color="auto"/>
        <w:left w:val="none" w:sz="0" w:space="0" w:color="auto"/>
        <w:bottom w:val="none" w:sz="0" w:space="0" w:color="auto"/>
        <w:right w:val="none" w:sz="0" w:space="0" w:color="auto"/>
      </w:divBdr>
    </w:div>
    <w:div w:id="1732078865">
      <w:bodyDiv w:val="1"/>
      <w:marLeft w:val="0"/>
      <w:marRight w:val="0"/>
      <w:marTop w:val="0"/>
      <w:marBottom w:val="0"/>
      <w:divBdr>
        <w:top w:val="none" w:sz="0" w:space="0" w:color="auto"/>
        <w:left w:val="none" w:sz="0" w:space="0" w:color="auto"/>
        <w:bottom w:val="none" w:sz="0" w:space="0" w:color="auto"/>
        <w:right w:val="none" w:sz="0" w:space="0" w:color="auto"/>
      </w:divBdr>
    </w:div>
    <w:div w:id="1743411745">
      <w:bodyDiv w:val="1"/>
      <w:marLeft w:val="0"/>
      <w:marRight w:val="0"/>
      <w:marTop w:val="0"/>
      <w:marBottom w:val="0"/>
      <w:divBdr>
        <w:top w:val="none" w:sz="0" w:space="0" w:color="auto"/>
        <w:left w:val="none" w:sz="0" w:space="0" w:color="auto"/>
        <w:bottom w:val="none" w:sz="0" w:space="0" w:color="auto"/>
        <w:right w:val="none" w:sz="0" w:space="0" w:color="auto"/>
      </w:divBdr>
    </w:div>
    <w:div w:id="1825584531">
      <w:bodyDiv w:val="1"/>
      <w:marLeft w:val="0"/>
      <w:marRight w:val="0"/>
      <w:marTop w:val="0"/>
      <w:marBottom w:val="0"/>
      <w:divBdr>
        <w:top w:val="none" w:sz="0" w:space="0" w:color="auto"/>
        <w:left w:val="none" w:sz="0" w:space="0" w:color="auto"/>
        <w:bottom w:val="none" w:sz="0" w:space="0" w:color="auto"/>
        <w:right w:val="none" w:sz="0" w:space="0" w:color="auto"/>
      </w:divBdr>
    </w:div>
    <w:div w:id="19345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nato.int/cps/en/SID-107090C3-88095132/natolive/topics_98527.htm" TargetMode="External"/><Relationship Id="rId12" Type="http://schemas.openxmlformats.org/officeDocument/2006/relationships/hyperlink" Target="http://www.nato.int/cps/en/natolive/opinions_84197.htm" TargetMode="External"/><Relationship Id="rId13" Type="http://schemas.openxmlformats.org/officeDocument/2006/relationships/hyperlink" Target="http://www.nato.int/cps/en/natolive/news_86715.htm" TargetMode="External"/><Relationship Id="rId1" Type="http://schemas.openxmlformats.org/officeDocument/2006/relationships/hyperlink" Target="http://www.osw.waw.pl/en/publikacje/ceweekly/2012-09-19/smart-defence-nordic-style" TargetMode="External"/><Relationship Id="rId2" Type="http://schemas.openxmlformats.org/officeDocument/2006/relationships/hyperlink" Target="http://www.nordefco.org/The-basics-about-NORDEFCO" TargetMode="External"/><Relationship Id="rId3" Type="http://schemas.openxmlformats.org/officeDocument/2006/relationships/hyperlink" Target="http://www.sheppard.af.mil/library/factsheetspage/factsheet.asp?fsID=5168" TargetMode="External"/><Relationship Id="rId4" Type="http://schemas.openxmlformats.org/officeDocument/2006/relationships/hyperlink" Target="http://ricks.foreignpolicy.com/posts/2012/05/23/a_pme_survivor_on_how_to_fix_the_war_college_system_take_it_back_to_the_future" TargetMode="External"/><Relationship Id="rId5" Type="http://schemas.openxmlformats.org/officeDocument/2006/relationships/hyperlink" Target="http://www.forsvarsmakten.se/en/Swedish-Armed-Forces-International-Centre/Courses-at-SWEDINT/" TargetMode="External"/><Relationship Id="rId6" Type="http://schemas.openxmlformats.org/officeDocument/2006/relationships/hyperlink" Target="http://www.powershow.com/view/13b8bd-MzNmN/NORDCAPS_Briefing_powerpoint_ppt_presentation" TargetMode="External"/><Relationship Id="rId7" Type="http://schemas.openxmlformats.org/officeDocument/2006/relationships/hyperlink" Target="http://www.nordefco.org/files/nordefco-courses-a4.pdf" TargetMode="External"/><Relationship Id="rId8" Type="http://schemas.openxmlformats.org/officeDocument/2006/relationships/hyperlink" Target="http://ec.europa.eu/education/pdf/doc125_en.pdf" TargetMode="External"/><Relationship Id="rId9" Type="http://schemas.openxmlformats.org/officeDocument/2006/relationships/hyperlink" Target="http://www.ilo.org/wcmsp5/groups/public/@ed_emp/@ifp_skills/documents/instructionalmaterial/wcms_103623.pdf" TargetMode="External"/><Relationship Id="rId10" Type="http://schemas.openxmlformats.org/officeDocument/2006/relationships/hyperlink" Target="http://www.da.mod.uk/prospectus/jscsc/acsc/at_download/courseFl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12FE-82CC-8045-9D52-93AC1BA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6019</Words>
  <Characters>34310</Characters>
  <Application>Microsoft Macintosh Word</Application>
  <DocSecurity>0</DocSecurity>
  <Lines>285</Lines>
  <Paragraphs>80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Invading Bologna</vt:lpstr>
      <vt:lpstr>Abstract</vt:lpstr>
      <vt:lpstr/>
      <vt:lpstr>Introduction: Toward Multinational Professional Military Education</vt:lpstr>
      <vt:lpstr>A National Affair</vt:lpstr>
      <vt:lpstr/>
    </vt:vector>
  </TitlesOfParts>
  <Company>SAMF-IT, Københavns Universitet</Company>
  <LinksUpToDate>false</LinksUpToDate>
  <CharactersWithSpaces>40249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Invading Bologna</dc:title>
  <dc:subject/>
  <dc:creator>Henrik Ø. Breitenbauch</dc:creator>
  <cp:keywords/>
  <dc:description/>
  <cp:lastModifiedBy>Gary Schaub</cp:lastModifiedBy>
  <cp:revision>2</cp:revision>
  <cp:lastPrinted>2013-06-26T15:25:00Z</cp:lastPrinted>
  <dcterms:created xsi:type="dcterms:W3CDTF">2013-08-26T16:04:00Z</dcterms:created>
  <dcterms:modified xsi:type="dcterms:W3CDTF">2013-08-26T16:04:00Z</dcterms:modified>
</cp:coreProperties>
</file>